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60765" w14:textId="2836251A" w:rsidR="00D90D73" w:rsidRPr="005B0903" w:rsidRDefault="00D90D73" w:rsidP="00D90D73">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144C4">
        <w:rPr>
          <w:bCs/>
          <w:noProof w:val="0"/>
          <w:sz w:val="24"/>
          <w:szCs w:val="24"/>
        </w:rPr>
        <w:t>6</w:t>
      </w:r>
      <w:r w:rsidRPr="005336CD">
        <w:rPr>
          <w:bCs/>
          <w:noProof w:val="0"/>
          <w:sz w:val="24"/>
          <w:szCs w:val="24"/>
        </w:rPr>
        <w:tab/>
      </w:r>
      <w:r w:rsidR="002B7247" w:rsidRPr="00F44D0D">
        <w:rPr>
          <w:bCs/>
          <w:noProof w:val="0"/>
          <w:sz w:val="24"/>
          <w:szCs w:val="24"/>
        </w:rPr>
        <w:t>R1-210</w:t>
      </w:r>
      <w:r w:rsidR="00F44D0D" w:rsidRPr="00F44D0D">
        <w:rPr>
          <w:bCs/>
          <w:noProof w:val="0"/>
          <w:sz w:val="24"/>
          <w:szCs w:val="24"/>
        </w:rPr>
        <w:t>7042</w:t>
      </w:r>
    </w:p>
    <w:p w14:paraId="68369610" w14:textId="6F9FB4C2" w:rsidR="00D90D73" w:rsidRDefault="00D90D73" w:rsidP="00D90D73">
      <w:pPr>
        <w:pStyle w:val="Header"/>
        <w:tabs>
          <w:tab w:val="right" w:pos="9639"/>
        </w:tabs>
        <w:spacing w:before="0" w:after="0"/>
        <w:rPr>
          <w:bCs/>
          <w:noProof w:val="0"/>
          <w:sz w:val="24"/>
          <w:szCs w:val="24"/>
        </w:rPr>
      </w:pPr>
      <w:r w:rsidRPr="008903BD">
        <w:rPr>
          <w:bCs/>
          <w:noProof w:val="0"/>
          <w:sz w:val="24"/>
          <w:szCs w:val="24"/>
        </w:rPr>
        <w:t xml:space="preserve">e-Meeting, </w:t>
      </w:r>
      <w:r w:rsidR="006B79FB">
        <w:rPr>
          <w:bCs/>
          <w:noProof w:val="0"/>
          <w:sz w:val="24"/>
          <w:szCs w:val="24"/>
        </w:rPr>
        <w:t>Aug</w:t>
      </w:r>
      <w:r w:rsidRPr="008903BD">
        <w:rPr>
          <w:bCs/>
          <w:noProof w:val="0"/>
          <w:sz w:val="24"/>
          <w:szCs w:val="24"/>
        </w:rPr>
        <w:t xml:space="preserve"> 1</w:t>
      </w:r>
      <w:r w:rsidR="006B79FB">
        <w:rPr>
          <w:bCs/>
          <w:noProof w:val="0"/>
          <w:sz w:val="24"/>
          <w:szCs w:val="24"/>
        </w:rPr>
        <w:t>6</w:t>
      </w:r>
      <w:r w:rsidRPr="008903BD">
        <w:rPr>
          <w:bCs/>
          <w:noProof w:val="0"/>
          <w:sz w:val="24"/>
          <w:szCs w:val="24"/>
        </w:rPr>
        <w:t>th – 27th, 2021</w:t>
      </w:r>
    </w:p>
    <w:bookmarkEnd w:id="0"/>
    <w:p w14:paraId="6291F8CC" w14:textId="77777777" w:rsidR="00754B37" w:rsidRPr="00CB1017" w:rsidRDefault="00754B37">
      <w:pPr>
        <w:pStyle w:val="CRCoverPage"/>
        <w:rPr>
          <w:rFonts w:cs="Arial"/>
          <w:b/>
          <w:bCs/>
          <w:sz w:val="24"/>
          <w:lang w:val="en-US"/>
        </w:rPr>
      </w:pPr>
    </w:p>
    <w:p w14:paraId="08AC4AD5" w14:textId="7CE1917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C35331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On a</w:t>
      </w:r>
      <w:r w:rsidR="005A7FCD">
        <w:rPr>
          <w:rFonts w:ascii="Arial" w:hAnsi="Arial" w:cs="Arial"/>
          <w:b/>
          <w:bCs/>
          <w:sz w:val="24"/>
        </w:rPr>
        <w:t>spects related to duplex operation</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9D50AC6" w14:textId="2BC608B7" w:rsidR="007F62D2" w:rsidRDefault="00695B22" w:rsidP="00B94F2B">
      <w:pPr>
        <w:spacing w:before="0" w:after="0"/>
        <w:rPr>
          <w:lang w:val="en-US"/>
        </w:rPr>
      </w:pPr>
      <w:r>
        <w:rPr>
          <w:lang w:val="en-US"/>
        </w:rPr>
        <w:t xml:space="preserve">In </w:t>
      </w:r>
      <w:r w:rsidR="003B2D8C" w:rsidRPr="008B020C">
        <w:rPr>
          <w:lang w:val="en-US"/>
        </w:rPr>
        <w:t>RAN</w:t>
      </w:r>
      <w:r w:rsidR="002E248E">
        <w:rPr>
          <w:lang w:val="en-US"/>
        </w:rPr>
        <w:t>1#10</w:t>
      </w:r>
      <w:r w:rsidR="006B79FB">
        <w:rPr>
          <w:lang w:val="en-US"/>
        </w:rPr>
        <w:t>5</w:t>
      </w:r>
      <w:r w:rsidR="002E248E">
        <w:rPr>
          <w:lang w:val="en-US"/>
        </w:rPr>
        <w:t>-e</w:t>
      </w:r>
      <w:r w:rsidR="0012608E">
        <w:rPr>
          <w:lang w:val="en-US"/>
        </w:rPr>
        <w:t>,</w:t>
      </w:r>
      <w:r w:rsidR="00E31043">
        <w:rPr>
          <w:lang w:val="en-US"/>
        </w:rPr>
        <w:t xml:space="preserve"> </w:t>
      </w:r>
      <w:r w:rsidR="00B94F2B">
        <w:rPr>
          <w:lang w:val="en-US"/>
        </w:rPr>
        <w:t>collision handling has been extensively discussed</w:t>
      </w:r>
      <w:r w:rsidR="00F830A8">
        <w:rPr>
          <w:lang w:val="en-US"/>
        </w:rPr>
        <w:t xml:space="preserve"> and good progress</w:t>
      </w:r>
      <w:r w:rsidR="006B79FB">
        <w:rPr>
          <w:lang w:val="en-US"/>
        </w:rPr>
        <w:t xml:space="preserve"> on remaining cases</w:t>
      </w:r>
      <w:r w:rsidR="00F830A8">
        <w:rPr>
          <w:lang w:val="en-US"/>
        </w:rPr>
        <w:t xml:space="preserve"> has been achieved</w:t>
      </w:r>
      <w:r w:rsidR="00B94F2B">
        <w:rPr>
          <w:lang w:val="en-US"/>
        </w:rPr>
        <w:t>:</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F34358">
        <w:tc>
          <w:tcPr>
            <w:tcW w:w="9629" w:type="dxa"/>
            <w:shd w:val="clear" w:color="auto" w:fill="auto"/>
          </w:tcPr>
          <w:p w14:paraId="1D16490E" w14:textId="77777777" w:rsidR="00E274ED" w:rsidRPr="00933355" w:rsidRDefault="00E274ED" w:rsidP="00E274ED">
            <w:pPr>
              <w:rPr>
                <w:sz w:val="16"/>
                <w:szCs w:val="16"/>
                <w:highlight w:val="green"/>
              </w:rPr>
            </w:pPr>
            <w:r w:rsidRPr="00933355">
              <w:rPr>
                <w:sz w:val="16"/>
                <w:szCs w:val="16"/>
                <w:highlight w:val="green"/>
              </w:rPr>
              <w:t>Agreement:</w:t>
            </w:r>
          </w:p>
          <w:p w14:paraId="7AFD64E4" w14:textId="77777777" w:rsidR="00E274ED" w:rsidRPr="00933355" w:rsidRDefault="00E274ED" w:rsidP="005A2635">
            <w:pPr>
              <w:numPr>
                <w:ilvl w:val="0"/>
                <w:numId w:val="26"/>
              </w:numPr>
              <w:spacing w:before="0" w:after="0" w:line="252" w:lineRule="auto"/>
              <w:rPr>
                <w:rFonts w:eastAsia="Times New Roman"/>
                <w:sz w:val="16"/>
                <w:szCs w:val="16"/>
              </w:rPr>
            </w:pPr>
            <w:r w:rsidRPr="00933355">
              <w:rPr>
                <w:rFonts w:eastAsia="Times New Roman"/>
                <w:sz w:val="16"/>
                <w:szCs w:val="16"/>
              </w:rPr>
              <w:t xml:space="preserve">For Case 2 </w:t>
            </w:r>
            <w:r w:rsidRPr="00933355">
              <w:rPr>
                <w:rFonts w:eastAsia="Times New Roman"/>
                <w:sz w:val="16"/>
                <w:szCs w:val="16"/>
                <w:lang w:eastAsia="zh-CN"/>
              </w:rPr>
              <w:t>(semi-statically configured DL reception vs. dynamically scheduled UL transmission)</w:t>
            </w:r>
            <w:r w:rsidRPr="00933355">
              <w:rPr>
                <w:rFonts w:eastAsia="Times New Roman"/>
                <w:sz w:val="16"/>
                <w:szCs w:val="16"/>
              </w:rPr>
              <w:t>, a HD-FDD RedCap UE is not required to monitor ULCI</w:t>
            </w:r>
          </w:p>
          <w:p w14:paraId="6614719E"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No special handling on the priority rule for PDCCH carrying ULCI</w:t>
            </w:r>
          </w:p>
          <w:p w14:paraId="717127B9" w14:textId="77777777" w:rsidR="00E274ED" w:rsidRPr="00933355" w:rsidRDefault="007B0391" w:rsidP="00E274ED">
            <w:pPr>
              <w:rPr>
                <w:rFonts w:ascii="Calibri" w:hAnsi="Calibri"/>
                <w:sz w:val="16"/>
                <w:szCs w:val="18"/>
                <w:lang w:val="en-US"/>
              </w:rPr>
            </w:pPr>
            <w:hyperlink r:id="rId11" w:history="1">
              <w:r w:rsidR="00E274ED" w:rsidRPr="00933355">
                <w:rPr>
                  <w:rStyle w:val="Hyperlink"/>
                  <w:sz w:val="16"/>
                  <w:szCs w:val="16"/>
                </w:rPr>
                <w:t>R1-2106145</w:t>
              </w:r>
            </w:hyperlink>
            <w:r w:rsidR="00E274ED" w:rsidRPr="00933355">
              <w:rPr>
                <w:sz w:val="16"/>
                <w:szCs w:val="16"/>
              </w:rPr>
              <w:t xml:space="preserve">        FL summary#2 on duplex operation for RedCap                  Moderator (Qualcomm Inc.)</w:t>
            </w:r>
          </w:p>
          <w:p w14:paraId="1D0DE277" w14:textId="77777777" w:rsidR="00E274ED" w:rsidRPr="00933355" w:rsidRDefault="00E274ED" w:rsidP="00E274ED">
            <w:pPr>
              <w:rPr>
                <w:rFonts w:ascii="Calibri" w:hAnsi="Calibri"/>
                <w:sz w:val="16"/>
                <w:szCs w:val="16"/>
                <w:u w:val="single"/>
                <w:lang w:val="en-US"/>
              </w:rPr>
            </w:pPr>
            <w:r w:rsidRPr="00933355">
              <w:rPr>
                <w:b/>
                <w:bCs/>
                <w:sz w:val="16"/>
                <w:szCs w:val="16"/>
                <w:u w:val="single"/>
              </w:rPr>
              <w:t>Conclusion:</w:t>
            </w:r>
          </w:p>
          <w:p w14:paraId="38B5A541" w14:textId="77777777" w:rsidR="00E274ED" w:rsidRPr="00933355" w:rsidRDefault="00E274ED" w:rsidP="005A2635">
            <w:pPr>
              <w:numPr>
                <w:ilvl w:val="0"/>
                <w:numId w:val="26"/>
              </w:numPr>
              <w:spacing w:before="0" w:after="0"/>
              <w:rPr>
                <w:rFonts w:eastAsia="Times New Roman"/>
                <w:sz w:val="16"/>
                <w:szCs w:val="16"/>
              </w:rPr>
            </w:pPr>
            <w:r w:rsidRPr="00933355">
              <w:rPr>
                <w:rFonts w:eastAsia="Times New Roman"/>
                <w:sz w:val="16"/>
                <w:szCs w:val="16"/>
              </w:rPr>
              <w:t>No consensus of specification support of semi-static UL/DL pattern to HD-FDD RedCap UEs in Rel-17.</w:t>
            </w:r>
          </w:p>
          <w:p w14:paraId="08F5FE46" w14:textId="77777777" w:rsidR="00E274ED" w:rsidRPr="00933355" w:rsidRDefault="00E274ED" w:rsidP="00E274ED">
            <w:pPr>
              <w:rPr>
                <w:rFonts w:ascii="Calibri" w:hAnsi="Calibri"/>
                <w:sz w:val="16"/>
                <w:szCs w:val="16"/>
                <w:highlight w:val="green"/>
                <w:lang w:val="en-US"/>
              </w:rPr>
            </w:pPr>
            <w:r w:rsidRPr="00933355">
              <w:rPr>
                <w:sz w:val="16"/>
                <w:szCs w:val="16"/>
                <w:highlight w:val="green"/>
              </w:rPr>
              <w:t>Agreement:</w:t>
            </w:r>
          </w:p>
          <w:p w14:paraId="60287807" w14:textId="77777777" w:rsidR="00E274ED" w:rsidRPr="00933355" w:rsidRDefault="00E274ED" w:rsidP="005A2635">
            <w:pPr>
              <w:numPr>
                <w:ilvl w:val="0"/>
                <w:numId w:val="26"/>
              </w:numPr>
              <w:spacing w:before="0" w:after="0" w:line="252" w:lineRule="auto"/>
              <w:rPr>
                <w:rFonts w:eastAsia="Times New Roman"/>
                <w:sz w:val="16"/>
                <w:szCs w:val="16"/>
              </w:rPr>
            </w:pPr>
            <w:r w:rsidRPr="00933355">
              <w:rPr>
                <w:rFonts w:eastAsia="Times New Roman"/>
                <w:sz w:val="16"/>
                <w:szCs w:val="16"/>
              </w:rPr>
              <w:t xml:space="preserve">For Case 8 of </w:t>
            </w:r>
            <w:r w:rsidRPr="00933355">
              <w:rPr>
                <w:rFonts w:eastAsia="Times New Roman" w:cs="Times"/>
                <w:sz w:val="16"/>
                <w:szCs w:val="16"/>
              </w:rPr>
              <w:t>valid RO overlapping with PDCCH in Type 0/0A/1/2 CSS set,</w:t>
            </w:r>
            <w:r w:rsidRPr="00933355">
              <w:rPr>
                <w:rFonts w:eastAsia="Times New Roman"/>
                <w:sz w:val="16"/>
                <w:szCs w:val="16"/>
              </w:rPr>
              <w:t xml:space="preserve"> down-select from the following options</w:t>
            </w:r>
          </w:p>
          <w:p w14:paraId="0B919204" w14:textId="77777777" w:rsidR="00E274ED" w:rsidRPr="00933355" w:rsidRDefault="00E274ED" w:rsidP="005A2635">
            <w:pPr>
              <w:numPr>
                <w:ilvl w:val="1"/>
                <w:numId w:val="26"/>
              </w:numPr>
              <w:spacing w:before="0" w:after="0" w:line="252" w:lineRule="auto"/>
              <w:rPr>
                <w:rFonts w:eastAsia="Times New Roman"/>
                <w:sz w:val="16"/>
                <w:szCs w:val="16"/>
                <w:lang w:val="en-US"/>
              </w:rPr>
            </w:pPr>
            <w:r w:rsidRPr="00933355">
              <w:rPr>
                <w:rFonts w:eastAsia="Times New Roman"/>
                <w:sz w:val="16"/>
                <w:szCs w:val="16"/>
              </w:rPr>
              <w:t>Option 1: Reuse the existing collision handling principles of Rel-15/16 for NR TDD that valid RO is prioritized over configured PDCCH</w:t>
            </w:r>
          </w:p>
          <w:p w14:paraId="6A9B6563"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2: Leave to UE implementation whether to receive the configured PDCCH or transmit the PRACH on the valid RO</w:t>
            </w:r>
          </w:p>
          <w:p w14:paraId="668D812C"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3: If configured PDCCH is in a Type-2 CSS set, then PDCCH is prioritized; otherwise the valid RO is prioritized</w:t>
            </w:r>
          </w:p>
          <w:p w14:paraId="5DA158A3"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4: Configured PDCCH is prioritized over valid RO</w:t>
            </w:r>
          </w:p>
          <w:p w14:paraId="11D25563"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5: Configured by network, e.g. via a priority indicator</w:t>
            </w:r>
          </w:p>
          <w:p w14:paraId="4D226738"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FFS: whether or not the set of symbols overlapping with PDCCH in CSS set includes also N</w:t>
            </w:r>
            <w:r w:rsidRPr="00933355">
              <w:rPr>
                <w:rFonts w:eastAsia="Times New Roman"/>
                <w:sz w:val="16"/>
                <w:szCs w:val="16"/>
                <w:vertAlign w:val="subscript"/>
              </w:rPr>
              <w:t>gap</w:t>
            </w:r>
            <w:r w:rsidRPr="00933355">
              <w:rPr>
                <w:rFonts w:eastAsia="Times New Roman"/>
                <w:sz w:val="16"/>
                <w:szCs w:val="16"/>
              </w:rPr>
              <w:t xml:space="preserve"> symbols before the valid RO and whether the same value for N</w:t>
            </w:r>
            <w:r w:rsidRPr="00933355">
              <w:rPr>
                <w:rFonts w:eastAsia="Times New Roman"/>
                <w:sz w:val="16"/>
                <w:szCs w:val="16"/>
                <w:vertAlign w:val="subscript"/>
              </w:rPr>
              <w:t>gap</w:t>
            </w:r>
            <w:r w:rsidRPr="00933355">
              <w:rPr>
                <w:rFonts w:eastAsia="Times New Roman"/>
                <w:sz w:val="16"/>
                <w:szCs w:val="16"/>
              </w:rPr>
              <w:t xml:space="preserve"> in current spec is reused for HD-FDD</w:t>
            </w:r>
          </w:p>
          <w:p w14:paraId="3BDEA849"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FFS whether a valid RO follows TDD’s or FDD’s definition, and if so, the corresponding impact</w:t>
            </w:r>
          </w:p>
          <w:p w14:paraId="67EAC34C" w14:textId="77777777" w:rsidR="00E274ED" w:rsidRPr="00933355" w:rsidRDefault="00E274ED" w:rsidP="005A2635">
            <w:pPr>
              <w:numPr>
                <w:ilvl w:val="0"/>
                <w:numId w:val="26"/>
              </w:numPr>
              <w:spacing w:before="0" w:after="0" w:line="252" w:lineRule="auto"/>
              <w:rPr>
                <w:rFonts w:eastAsia="Times New Roman"/>
                <w:sz w:val="16"/>
                <w:szCs w:val="16"/>
              </w:rPr>
            </w:pPr>
            <w:r w:rsidRPr="00933355">
              <w:rPr>
                <w:rFonts w:eastAsia="Times New Roman"/>
                <w:sz w:val="16"/>
                <w:szCs w:val="16"/>
              </w:rPr>
              <w:t>FFS: whether or not the same principle is applied to PUSCH occasion of MSGA in 2-step RACH, if supported</w:t>
            </w:r>
          </w:p>
          <w:p w14:paraId="34531F17" w14:textId="77777777" w:rsidR="00E274ED" w:rsidRPr="00933355" w:rsidRDefault="00E274ED" w:rsidP="00E274ED">
            <w:pPr>
              <w:rPr>
                <w:sz w:val="22"/>
                <w:szCs w:val="28"/>
                <w:lang w:eastAsia="x-none"/>
              </w:rPr>
            </w:pPr>
          </w:p>
          <w:p w14:paraId="73DC7F15" w14:textId="77777777" w:rsidR="00E274ED" w:rsidRPr="00933355" w:rsidRDefault="00E274ED" w:rsidP="00E274ED">
            <w:pPr>
              <w:rPr>
                <w:sz w:val="16"/>
                <w:szCs w:val="16"/>
                <w:highlight w:val="green"/>
                <w:lang w:val="en-US"/>
              </w:rPr>
            </w:pPr>
            <w:r w:rsidRPr="00933355">
              <w:rPr>
                <w:sz w:val="16"/>
                <w:szCs w:val="16"/>
                <w:highlight w:val="green"/>
              </w:rPr>
              <w:t>Agreement:</w:t>
            </w:r>
          </w:p>
          <w:p w14:paraId="6D043EA3" w14:textId="77777777" w:rsidR="00E274ED" w:rsidRPr="00933355" w:rsidRDefault="00E274ED" w:rsidP="005A2635">
            <w:pPr>
              <w:numPr>
                <w:ilvl w:val="0"/>
                <w:numId w:val="26"/>
              </w:numPr>
              <w:spacing w:before="0" w:after="0" w:line="252" w:lineRule="auto"/>
              <w:rPr>
                <w:rFonts w:ascii="Calibri" w:eastAsia="Times New Roman" w:hAnsi="Calibri" w:cs="Calibri"/>
                <w:sz w:val="16"/>
                <w:szCs w:val="16"/>
              </w:rPr>
            </w:pPr>
            <w:r w:rsidRPr="00933355">
              <w:rPr>
                <w:rFonts w:eastAsia="Times New Roman"/>
                <w:sz w:val="16"/>
                <w:szCs w:val="16"/>
              </w:rPr>
              <w:t xml:space="preserve">For Case 8 of </w:t>
            </w:r>
            <w:r w:rsidRPr="00933355">
              <w:rPr>
                <w:rFonts w:eastAsia="Times New Roman" w:cs="Times"/>
                <w:sz w:val="16"/>
                <w:szCs w:val="16"/>
              </w:rPr>
              <w:t>valid RO overlapping with UE-dedicated configured DL reception (e.g. PDCCH in USS, SPS PDSCH, CSI-RS or DL PRS)</w:t>
            </w:r>
            <w:r w:rsidRPr="00933355">
              <w:rPr>
                <w:rFonts w:eastAsia="Times New Roman"/>
                <w:sz w:val="16"/>
                <w:szCs w:val="16"/>
              </w:rPr>
              <w:t>, down-select from the following options</w:t>
            </w:r>
          </w:p>
          <w:p w14:paraId="56E3F6B7" w14:textId="77777777" w:rsidR="00E274ED" w:rsidRPr="00933355" w:rsidRDefault="00E274ED" w:rsidP="005A2635">
            <w:pPr>
              <w:numPr>
                <w:ilvl w:val="1"/>
                <w:numId w:val="26"/>
              </w:numPr>
              <w:spacing w:before="0" w:after="0" w:line="252" w:lineRule="auto"/>
              <w:rPr>
                <w:rFonts w:eastAsia="Times New Roman"/>
                <w:sz w:val="16"/>
                <w:szCs w:val="16"/>
                <w:lang w:val="en-US"/>
              </w:rPr>
            </w:pPr>
            <w:r w:rsidRPr="00933355">
              <w:rPr>
                <w:rFonts w:eastAsia="Times New Roman"/>
                <w:sz w:val="16"/>
                <w:szCs w:val="16"/>
              </w:rPr>
              <w:t>Option 1: Reuse the existing collision handling principles of Rel-15/16 for NR TDD that valid RO is prioritized over configured DL</w:t>
            </w:r>
          </w:p>
          <w:p w14:paraId="027C9BEE"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2: Leave to UE implementation whether to receive the configured DL or transmit the PRACH on the valid RO</w:t>
            </w:r>
          </w:p>
          <w:p w14:paraId="0176BDF3" w14:textId="77777777" w:rsidR="00E274ED" w:rsidRPr="00933355" w:rsidRDefault="00E274ED" w:rsidP="005A2635">
            <w:pPr>
              <w:numPr>
                <w:ilvl w:val="1"/>
                <w:numId w:val="26"/>
              </w:numPr>
              <w:spacing w:before="0" w:after="0" w:line="252" w:lineRule="auto"/>
              <w:rPr>
                <w:rFonts w:eastAsia="Times New Roman"/>
                <w:sz w:val="16"/>
                <w:szCs w:val="16"/>
                <w:lang w:val="en-US"/>
              </w:rPr>
            </w:pPr>
            <w:r w:rsidRPr="00933355">
              <w:rPr>
                <w:rFonts w:eastAsia="Times New Roman"/>
                <w:sz w:val="16"/>
                <w:szCs w:val="16"/>
              </w:rPr>
              <w:t>Option 5: Configured by network, e.g. via a priority indicator</w:t>
            </w:r>
          </w:p>
          <w:p w14:paraId="4361C781" w14:textId="77777777" w:rsidR="00E274ED" w:rsidRPr="00933355" w:rsidRDefault="00E274ED" w:rsidP="005A2635">
            <w:pPr>
              <w:numPr>
                <w:ilvl w:val="1"/>
                <w:numId w:val="26"/>
              </w:numPr>
              <w:spacing w:before="0" w:after="0" w:line="252" w:lineRule="auto"/>
              <w:rPr>
                <w:rFonts w:eastAsia="Times New Roman"/>
                <w:color w:val="FF0000"/>
                <w:sz w:val="16"/>
                <w:szCs w:val="16"/>
              </w:rPr>
            </w:pPr>
            <w:r w:rsidRPr="00933355">
              <w:rPr>
                <w:rFonts w:eastAsia="Times New Roman"/>
                <w:color w:val="FF0000"/>
                <w:sz w:val="16"/>
                <w:szCs w:val="16"/>
              </w:rPr>
              <w:t>Other options are not precluded.</w:t>
            </w:r>
          </w:p>
          <w:p w14:paraId="192F817E"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FFS: whether or not the set of symbols overlapping with configured DL includes also N</w:t>
            </w:r>
            <w:r w:rsidRPr="00933355">
              <w:rPr>
                <w:rFonts w:eastAsia="Times New Roman"/>
                <w:sz w:val="16"/>
                <w:szCs w:val="16"/>
                <w:vertAlign w:val="subscript"/>
              </w:rPr>
              <w:t>gap</w:t>
            </w:r>
            <w:r w:rsidRPr="00933355">
              <w:rPr>
                <w:rFonts w:eastAsia="Times New Roman"/>
                <w:sz w:val="16"/>
                <w:szCs w:val="16"/>
              </w:rPr>
              <w:t xml:space="preserve"> symbols before the valid RO and whether the same value for N</w:t>
            </w:r>
            <w:r w:rsidRPr="00933355">
              <w:rPr>
                <w:rFonts w:eastAsia="Times New Roman"/>
                <w:sz w:val="16"/>
                <w:szCs w:val="16"/>
                <w:vertAlign w:val="subscript"/>
              </w:rPr>
              <w:t>gap</w:t>
            </w:r>
            <w:r w:rsidRPr="00933355">
              <w:rPr>
                <w:rFonts w:eastAsia="Times New Roman"/>
                <w:sz w:val="16"/>
                <w:szCs w:val="16"/>
              </w:rPr>
              <w:t xml:space="preserve"> in current spec is reused for HD-FDD</w:t>
            </w:r>
          </w:p>
          <w:p w14:paraId="4E877924" w14:textId="77777777" w:rsidR="00E274ED" w:rsidRPr="00933355" w:rsidRDefault="00E274ED" w:rsidP="005A2635">
            <w:pPr>
              <w:numPr>
                <w:ilvl w:val="0"/>
                <w:numId w:val="26"/>
              </w:numPr>
              <w:spacing w:before="0" w:after="0" w:line="252" w:lineRule="auto"/>
              <w:rPr>
                <w:rFonts w:eastAsia="Times New Roman"/>
                <w:sz w:val="16"/>
                <w:szCs w:val="16"/>
              </w:rPr>
            </w:pPr>
            <w:r w:rsidRPr="00933355">
              <w:rPr>
                <w:rFonts w:eastAsia="Times New Roman"/>
                <w:sz w:val="16"/>
                <w:szCs w:val="16"/>
              </w:rPr>
              <w:t>FFS: whether or not the same principle is applied to PUSCH occasion of MSGA in 2-step RACH, if supported</w:t>
            </w:r>
          </w:p>
          <w:p w14:paraId="0A414982" w14:textId="77777777" w:rsidR="00E274ED" w:rsidRPr="00933355" w:rsidRDefault="00E274ED" w:rsidP="00E274ED">
            <w:pPr>
              <w:rPr>
                <w:sz w:val="16"/>
                <w:szCs w:val="16"/>
                <w:highlight w:val="green"/>
              </w:rPr>
            </w:pPr>
            <w:r w:rsidRPr="00933355">
              <w:rPr>
                <w:sz w:val="16"/>
                <w:szCs w:val="16"/>
                <w:highlight w:val="green"/>
              </w:rPr>
              <w:t>Agreement:</w:t>
            </w:r>
          </w:p>
          <w:p w14:paraId="05ADBAE6" w14:textId="77777777" w:rsidR="00E274ED" w:rsidRPr="00933355" w:rsidRDefault="00E274ED" w:rsidP="005A2635">
            <w:pPr>
              <w:numPr>
                <w:ilvl w:val="0"/>
                <w:numId w:val="26"/>
              </w:numPr>
              <w:spacing w:before="0" w:after="0" w:line="252" w:lineRule="auto"/>
              <w:rPr>
                <w:rFonts w:ascii="Calibri" w:eastAsia="Times New Roman" w:hAnsi="Calibri" w:cs="Calibri"/>
                <w:sz w:val="16"/>
                <w:szCs w:val="16"/>
              </w:rPr>
            </w:pPr>
            <w:r w:rsidRPr="00933355">
              <w:rPr>
                <w:rFonts w:eastAsia="Times New Roman"/>
                <w:sz w:val="16"/>
                <w:szCs w:val="16"/>
              </w:rPr>
              <w:t xml:space="preserve">For Case 8 of </w:t>
            </w:r>
            <w:r w:rsidRPr="00933355">
              <w:rPr>
                <w:rFonts w:eastAsia="Times New Roman" w:cs="Times"/>
                <w:sz w:val="16"/>
                <w:szCs w:val="16"/>
              </w:rPr>
              <w:t>valid RO overlapping with dynamically scheduled DL reception</w:t>
            </w:r>
            <w:r w:rsidRPr="00933355">
              <w:rPr>
                <w:rFonts w:eastAsia="Times New Roman"/>
                <w:sz w:val="16"/>
                <w:szCs w:val="16"/>
              </w:rPr>
              <w:t>, down-select from the following options</w:t>
            </w:r>
          </w:p>
          <w:p w14:paraId="74E7C5A5" w14:textId="77777777" w:rsidR="00E274ED" w:rsidRPr="00933355" w:rsidRDefault="00E274ED" w:rsidP="005A2635">
            <w:pPr>
              <w:numPr>
                <w:ilvl w:val="1"/>
                <w:numId w:val="26"/>
              </w:numPr>
              <w:spacing w:before="0" w:after="0" w:line="252" w:lineRule="auto"/>
              <w:rPr>
                <w:rFonts w:eastAsia="Times New Roman"/>
                <w:sz w:val="16"/>
                <w:szCs w:val="16"/>
                <w:lang w:val="en-US"/>
              </w:rPr>
            </w:pPr>
            <w:r w:rsidRPr="00933355">
              <w:rPr>
                <w:rFonts w:eastAsia="Times New Roman"/>
                <w:sz w:val="16"/>
                <w:szCs w:val="16"/>
              </w:rPr>
              <w:t>Option 1: Reuse the existing collision handling principles of Rel-15/16 for NR TDD for operation on a single carrier /single cell in unpaired spectrum</w:t>
            </w:r>
          </w:p>
          <w:p w14:paraId="7A963EB4"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2: Leave to UE implementation whether to receive the DL or transmit the PRACH on a valid RO</w:t>
            </w:r>
          </w:p>
          <w:p w14:paraId="70F071A7"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 xml:space="preserve">Option 3: Follow the handling of Case 1 </w:t>
            </w:r>
            <w:r w:rsidRPr="00933355">
              <w:rPr>
                <w:rFonts w:eastAsia="Times New Roman"/>
                <w:strike/>
                <w:color w:val="FF0000"/>
                <w:sz w:val="16"/>
                <w:szCs w:val="16"/>
              </w:rPr>
              <w:t xml:space="preserve">to cancel PRACH based on a timeline </w:t>
            </w:r>
            <w:r w:rsidRPr="00933355">
              <w:rPr>
                <w:rFonts w:eastAsia="Times New Roman"/>
                <w:sz w:val="16"/>
                <w:szCs w:val="16"/>
              </w:rPr>
              <w:t>that when the cancellation timeline is satisfied, the UE cancels the PRACH transmission and receives the DL signal/channels on the symbols overlapping with PRACH occasion (Interpretation 2 in R1-2103809)</w:t>
            </w:r>
          </w:p>
          <w:p w14:paraId="53451405"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Option 4: Valid RO is prioritized over dynamic DL that UE performs PRACH transmission and does not perform the DL receptions (Interpretation 3 in R1-2103809)</w:t>
            </w:r>
          </w:p>
          <w:p w14:paraId="1C1DE381"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lastRenderedPageBreak/>
              <w:t>Option 5: When the cancellation timeline is satisfied, the UE neither performs transmission nor receives any DL signal/channels on the symbols overlapping with PRACH occasion (Interpretation 1 in R1-2103809)</w:t>
            </w:r>
          </w:p>
          <w:p w14:paraId="41AD7D9E" w14:textId="77777777" w:rsidR="00E274ED" w:rsidRPr="00933355" w:rsidRDefault="00E274ED" w:rsidP="005A2635">
            <w:pPr>
              <w:numPr>
                <w:ilvl w:val="1"/>
                <w:numId w:val="26"/>
              </w:numPr>
              <w:spacing w:before="0" w:after="0" w:line="252" w:lineRule="auto"/>
              <w:rPr>
                <w:rFonts w:eastAsia="Times New Roman"/>
                <w:sz w:val="16"/>
                <w:szCs w:val="16"/>
              </w:rPr>
            </w:pPr>
            <w:r w:rsidRPr="00933355">
              <w:rPr>
                <w:rFonts w:eastAsia="Times New Roman"/>
                <w:sz w:val="16"/>
                <w:szCs w:val="16"/>
              </w:rPr>
              <w:t>FFS: whether or not the set of symbols overlapping with dynamic DL reception includes also N</w:t>
            </w:r>
            <w:r w:rsidRPr="00933355">
              <w:rPr>
                <w:rFonts w:eastAsia="Times New Roman"/>
                <w:sz w:val="16"/>
                <w:szCs w:val="16"/>
                <w:vertAlign w:val="subscript"/>
              </w:rPr>
              <w:t>gap</w:t>
            </w:r>
            <w:r w:rsidRPr="00933355">
              <w:rPr>
                <w:rFonts w:eastAsia="Times New Roman"/>
                <w:sz w:val="16"/>
                <w:szCs w:val="16"/>
              </w:rPr>
              <w:t xml:space="preserve"> symbols before the valid RO and whether the same value for N</w:t>
            </w:r>
            <w:r w:rsidRPr="00933355">
              <w:rPr>
                <w:rFonts w:eastAsia="Times New Roman"/>
                <w:sz w:val="16"/>
                <w:szCs w:val="16"/>
                <w:vertAlign w:val="subscript"/>
              </w:rPr>
              <w:t>gap</w:t>
            </w:r>
            <w:r w:rsidRPr="00933355">
              <w:rPr>
                <w:rFonts w:eastAsia="Times New Roman"/>
                <w:sz w:val="16"/>
                <w:szCs w:val="16"/>
              </w:rPr>
              <w:t xml:space="preserve"> in current spec is reused for HD-FDD</w:t>
            </w:r>
          </w:p>
          <w:p w14:paraId="37B8E141" w14:textId="77777777" w:rsidR="00E274ED" w:rsidRPr="00933355" w:rsidRDefault="00E274ED" w:rsidP="005A2635">
            <w:pPr>
              <w:numPr>
                <w:ilvl w:val="0"/>
                <w:numId w:val="26"/>
              </w:numPr>
              <w:spacing w:before="0" w:after="0" w:line="252" w:lineRule="auto"/>
              <w:rPr>
                <w:rFonts w:eastAsia="Times New Roman"/>
                <w:sz w:val="16"/>
                <w:szCs w:val="16"/>
              </w:rPr>
            </w:pPr>
            <w:r w:rsidRPr="00933355">
              <w:rPr>
                <w:rFonts w:eastAsia="Times New Roman"/>
                <w:sz w:val="16"/>
                <w:szCs w:val="16"/>
              </w:rPr>
              <w:t>FFS: whether or not the same principle is applied to PUSCH occasion of MSGA in 2-step RACH, if supported</w:t>
            </w:r>
          </w:p>
          <w:p w14:paraId="5485286B" w14:textId="39A7E6C9" w:rsidR="00327CA0" w:rsidRPr="00E274ED" w:rsidRDefault="00327CA0" w:rsidP="00327CA0">
            <w:pPr>
              <w:spacing w:before="0" w:after="0"/>
              <w:textAlignment w:val="baseline"/>
            </w:pPr>
          </w:p>
        </w:tc>
      </w:tr>
    </w:tbl>
    <w:p w14:paraId="0E0C91D7" w14:textId="55801BDE" w:rsidR="00F94575" w:rsidRDefault="00F34358" w:rsidP="00F94575">
      <w:pPr>
        <w:pStyle w:val="Heading1"/>
        <w:rPr>
          <w:sz w:val="40"/>
          <w:szCs w:val="22"/>
          <w:lang w:val="en-US"/>
        </w:rPr>
      </w:pPr>
      <w:r>
        <w:rPr>
          <w:sz w:val="40"/>
          <w:szCs w:val="22"/>
          <w:lang w:val="en-US"/>
        </w:rPr>
        <w:lastRenderedPageBreak/>
        <w:t>Remaining open issues</w:t>
      </w:r>
    </w:p>
    <w:p w14:paraId="711BFEC0" w14:textId="45C8B262" w:rsidR="00306B96" w:rsidRDefault="00B94F2B" w:rsidP="00F34358">
      <w:pPr>
        <w:rPr>
          <w:lang w:val="en-US"/>
        </w:rPr>
      </w:pPr>
      <w:r>
        <w:rPr>
          <w:lang w:val="en-US"/>
        </w:rPr>
        <w:t>There are no op</w:t>
      </w:r>
      <w:r w:rsidR="009B288F">
        <w:rPr>
          <w:lang w:val="en-US"/>
        </w:rPr>
        <w:t>en</w:t>
      </w:r>
      <w:r>
        <w:rPr>
          <w:lang w:val="en-US"/>
        </w:rPr>
        <w:t xml:space="preserve"> </w:t>
      </w:r>
      <w:r w:rsidR="00306B96">
        <w:rPr>
          <w:lang w:val="en-US"/>
        </w:rPr>
        <w:t>issues for Case 1</w:t>
      </w:r>
      <w:r w:rsidR="005C2891">
        <w:rPr>
          <w:lang w:val="en-US"/>
        </w:rPr>
        <w:t>,</w:t>
      </w:r>
      <w:r w:rsidR="006937D7">
        <w:rPr>
          <w:lang w:val="en-US"/>
        </w:rPr>
        <w:t xml:space="preserve"> </w:t>
      </w:r>
      <w:r w:rsidR="005C2891">
        <w:rPr>
          <w:lang w:val="en-US"/>
        </w:rPr>
        <w:t>2</w:t>
      </w:r>
      <w:r w:rsidR="00306B96">
        <w:rPr>
          <w:lang w:val="en-US"/>
        </w:rPr>
        <w:t xml:space="preserve"> and Case 4</w:t>
      </w:r>
      <w:r w:rsidR="009B288F">
        <w:rPr>
          <w:lang w:val="en-US"/>
        </w:rPr>
        <w:t>.</w:t>
      </w:r>
    </w:p>
    <w:p w14:paraId="316AF08B" w14:textId="3F702AC0" w:rsidR="008648F9" w:rsidRDefault="008648F9" w:rsidP="008648F9">
      <w:pPr>
        <w:pStyle w:val="Heading2"/>
        <w:rPr>
          <w:lang w:val="en-US"/>
        </w:rPr>
      </w:pPr>
      <w:r>
        <w:rPr>
          <w:lang w:val="en-US"/>
        </w:rPr>
        <w:t>Case 3</w:t>
      </w:r>
    </w:p>
    <w:p w14:paraId="4D24D6B9" w14:textId="59B12BA1" w:rsidR="006937D7" w:rsidRPr="006937D7" w:rsidRDefault="004445F1" w:rsidP="006937D7">
      <w:pPr>
        <w:rPr>
          <w:lang w:val="en-US"/>
        </w:rPr>
      </w:pPr>
      <w:r>
        <w:rPr>
          <w:lang w:val="en-US"/>
        </w:rPr>
        <w:t>The discussion stopped in last meeting at this FL proposal.</w:t>
      </w:r>
    </w:p>
    <w:tbl>
      <w:tblPr>
        <w:tblStyle w:val="TableGrid"/>
        <w:tblW w:w="0" w:type="auto"/>
        <w:tblLook w:val="04A0" w:firstRow="1" w:lastRow="0" w:firstColumn="1" w:lastColumn="0" w:noHBand="0" w:noVBand="1"/>
      </w:tblPr>
      <w:tblGrid>
        <w:gridCol w:w="9629"/>
      </w:tblGrid>
      <w:tr w:rsidR="00CD30D7" w14:paraId="0A844C38" w14:textId="77777777" w:rsidTr="00CD30D7">
        <w:tc>
          <w:tcPr>
            <w:tcW w:w="9629" w:type="dxa"/>
          </w:tcPr>
          <w:p w14:paraId="106CAA9B" w14:textId="77777777" w:rsidR="00CD30D7" w:rsidRDefault="00CD30D7" w:rsidP="00CD30D7">
            <w:pPr>
              <w:spacing w:after="120"/>
              <w:rPr>
                <w:szCs w:val="24"/>
              </w:rPr>
            </w:pPr>
            <w:r>
              <w:rPr>
                <w:b/>
                <w:highlight w:val="yellow"/>
              </w:rPr>
              <w:t xml:space="preserve">[FL4] High Priority Proposal </w:t>
            </w:r>
            <w:r w:rsidRPr="00022954">
              <w:rPr>
                <w:b/>
                <w:highlight w:val="yellow"/>
              </w:rPr>
              <w:t>3</w:t>
            </w:r>
            <w:r>
              <w:rPr>
                <w:b/>
                <w:highlight w:val="yellow"/>
              </w:rPr>
              <w:t>.</w:t>
            </w:r>
            <w:r w:rsidRPr="00CF22E6">
              <w:rPr>
                <w:b/>
                <w:highlight w:val="yellow"/>
              </w:rPr>
              <w:t>3-1</w:t>
            </w:r>
            <w:r>
              <w:rPr>
                <w:b/>
                <w:bCs/>
              </w:rPr>
              <w:t xml:space="preserve">: Revise </w:t>
            </w:r>
            <w:r w:rsidRPr="00817C04">
              <w:rPr>
                <w:b/>
                <w:bCs/>
              </w:rPr>
              <w:t xml:space="preserve">the RAN1#104bis-e agreement for Case 3 </w:t>
            </w:r>
            <w:r>
              <w:rPr>
                <w:b/>
                <w:bCs/>
              </w:rPr>
              <w:t>as</w:t>
            </w:r>
            <w:r w:rsidRPr="00817C04">
              <w:rPr>
                <w:b/>
                <w:bCs/>
              </w:rPr>
              <w:t xml:space="preserve"> the following</w:t>
            </w:r>
            <w:r>
              <w:rPr>
                <w:b/>
                <w:bCs/>
              </w:rPr>
              <w:t xml:space="preserve"> </w:t>
            </w:r>
          </w:p>
          <w:p w14:paraId="33D9C0DE" w14:textId="77777777" w:rsidR="00CD30D7" w:rsidRPr="0049258A" w:rsidRDefault="00CD30D7" w:rsidP="005A2635">
            <w:pPr>
              <w:numPr>
                <w:ilvl w:val="0"/>
                <w:numId w:val="27"/>
              </w:numPr>
              <w:spacing w:before="0"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43C8E635" w14:textId="77777777" w:rsidR="00CD30D7" w:rsidRPr="0049258A" w:rsidRDefault="00CD30D7" w:rsidP="005A2635">
            <w:pPr>
              <w:numPr>
                <w:ilvl w:val="1"/>
                <w:numId w:val="27"/>
              </w:numPr>
              <w:spacing w:before="0"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0D3445C4" w14:textId="77777777" w:rsidR="00CD30D7" w:rsidRDefault="00CD30D7" w:rsidP="005A2635">
            <w:pPr>
              <w:numPr>
                <w:ilvl w:val="1"/>
                <w:numId w:val="27"/>
              </w:numPr>
              <w:spacing w:before="0" w:after="0" w:line="252" w:lineRule="auto"/>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296520C2" w14:textId="77777777" w:rsidR="00CD30D7" w:rsidRPr="001A74EA" w:rsidRDefault="00CD30D7" w:rsidP="005A2635">
            <w:pPr>
              <w:numPr>
                <w:ilvl w:val="2"/>
                <w:numId w:val="27"/>
              </w:numPr>
              <w:spacing w:before="0" w:after="0" w:line="252" w:lineRule="auto"/>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Type-0/0A/[1]/2 CSS set</w:t>
            </w:r>
          </w:p>
          <w:p w14:paraId="27A680EE" w14:textId="77777777" w:rsidR="00CD30D7" w:rsidRPr="00817C04" w:rsidRDefault="00CD30D7" w:rsidP="005A2635">
            <w:pPr>
              <w:numPr>
                <w:ilvl w:val="1"/>
                <w:numId w:val="27"/>
              </w:numPr>
              <w:spacing w:before="0" w:after="0" w:line="252" w:lineRule="auto"/>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39ACE4C2" w14:textId="77777777" w:rsidR="00CD30D7" w:rsidRPr="00817C04" w:rsidRDefault="00CD30D7" w:rsidP="005A2635">
            <w:pPr>
              <w:numPr>
                <w:ilvl w:val="1"/>
                <w:numId w:val="27"/>
              </w:numPr>
              <w:spacing w:before="0" w:after="0" w:line="252" w:lineRule="auto"/>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38D0A617" w14:textId="77777777" w:rsidR="00CD30D7" w:rsidRDefault="00CD30D7" w:rsidP="005A2635">
            <w:pPr>
              <w:numPr>
                <w:ilvl w:val="1"/>
                <w:numId w:val="27"/>
              </w:numPr>
              <w:spacing w:before="0" w:after="0" w:line="252" w:lineRule="auto"/>
              <w:rPr>
                <w:rFonts w:eastAsia="Times New Roman"/>
              </w:rPr>
            </w:pPr>
            <w:r w:rsidRPr="002050C3">
              <w:rPr>
                <w:rFonts w:eastAsia="Times New Roman"/>
              </w:rPr>
              <w:t>FFS: wheth</w:t>
            </w:r>
            <w:r w:rsidRPr="0049258A">
              <w:rPr>
                <w:rFonts w:eastAsia="Times New Roman"/>
              </w:rPr>
              <w:t>er or not there are conditions that need to be considered</w:t>
            </w:r>
          </w:p>
          <w:p w14:paraId="052228CF" w14:textId="7CD22C3B" w:rsidR="00CD30D7" w:rsidRDefault="00CD30D7" w:rsidP="005A2635">
            <w:pPr>
              <w:numPr>
                <w:ilvl w:val="1"/>
                <w:numId w:val="27"/>
              </w:numPr>
              <w:spacing w:before="0" w:after="0" w:line="252" w:lineRule="auto"/>
              <w:rPr>
                <w:lang w:val="en-US"/>
              </w:rPr>
            </w:pPr>
            <w:r w:rsidRPr="00817C04">
              <w:rPr>
                <w:rFonts w:eastAsia="Times New Roman"/>
                <w:color w:val="FF0000"/>
              </w:rPr>
              <w:t xml:space="preserve">Note: </w:t>
            </w:r>
            <w:r w:rsidRPr="00817C04">
              <w:rPr>
                <w:color w:val="FF0000"/>
                <w:lang w:val="en-US"/>
              </w:rPr>
              <w:t>Collision handling related to SSB or RO are to be treated in case 5 and case 8.</w:t>
            </w:r>
          </w:p>
        </w:tc>
      </w:tr>
    </w:tbl>
    <w:p w14:paraId="50B1A480" w14:textId="6F198E92" w:rsidR="007679BB" w:rsidRDefault="00B6352A" w:rsidP="00F34358">
      <w:pPr>
        <w:rPr>
          <w:lang w:val="en-US"/>
        </w:rPr>
      </w:pPr>
      <w:r>
        <w:rPr>
          <w:lang w:val="en-US"/>
        </w:rPr>
        <w:t xml:space="preserve">With understanding that valid-ROs collisions with </w:t>
      </w:r>
      <w:r w:rsidR="00F90C82">
        <w:rPr>
          <w:lang w:val="en-US"/>
        </w:rPr>
        <w:t xml:space="preserve">both </w:t>
      </w:r>
      <w:r>
        <w:rPr>
          <w:lang w:val="en-US"/>
        </w:rPr>
        <w:t>cell-specific or dedicated DL are treated in case 8</w:t>
      </w:r>
      <w:r w:rsidR="00F90C82">
        <w:rPr>
          <w:lang w:val="en-US"/>
        </w:rPr>
        <w:t>, we are fine with FL proposal.</w:t>
      </w:r>
      <w:r>
        <w:rPr>
          <w:lang w:val="en-US"/>
        </w:rPr>
        <w:t xml:space="preserve"> </w:t>
      </w:r>
    </w:p>
    <w:p w14:paraId="147429F5" w14:textId="74FDCA03" w:rsidR="00C726E3" w:rsidRDefault="00F90C82" w:rsidP="00F34358">
      <w:pPr>
        <w:rPr>
          <w:b/>
          <w:bCs/>
          <w:i/>
          <w:iCs/>
          <w:lang w:val="en-US"/>
        </w:rPr>
      </w:pPr>
      <w:r>
        <w:rPr>
          <w:b/>
          <w:bCs/>
          <w:i/>
          <w:iCs/>
          <w:lang w:val="en-US"/>
        </w:rPr>
        <w:t>Proposal</w:t>
      </w:r>
      <w:r w:rsidR="004445F1">
        <w:rPr>
          <w:b/>
          <w:bCs/>
          <w:i/>
          <w:iCs/>
          <w:lang w:val="en-US"/>
        </w:rPr>
        <w:t xml:space="preserve"> 1</w:t>
      </w:r>
      <w:r>
        <w:rPr>
          <w:b/>
          <w:bCs/>
          <w:i/>
          <w:iCs/>
          <w:lang w:val="en-US"/>
        </w:rPr>
        <w:t xml:space="preserve">: </w:t>
      </w:r>
      <w:r w:rsidR="004445F1" w:rsidRPr="007B0391">
        <w:rPr>
          <w:i/>
          <w:iCs/>
          <w:lang w:val="en-US"/>
        </w:rPr>
        <w:t>Agree on</w:t>
      </w:r>
      <w:r w:rsidRPr="007B0391">
        <w:rPr>
          <w:i/>
          <w:iCs/>
          <w:lang w:val="en-US"/>
        </w:rPr>
        <w:t xml:space="preserve"> RAN1#105 [FL4] High Priority Proposal 3.3-1 </w:t>
      </w:r>
    </w:p>
    <w:p w14:paraId="1806D91B" w14:textId="4701F359" w:rsidR="008648F9" w:rsidRDefault="008648F9" w:rsidP="008648F9">
      <w:pPr>
        <w:pStyle w:val="Heading2"/>
        <w:rPr>
          <w:lang w:val="en-US"/>
        </w:rPr>
      </w:pPr>
      <w:r>
        <w:rPr>
          <w:lang w:val="en-US"/>
        </w:rPr>
        <w:t xml:space="preserve">Case </w:t>
      </w:r>
      <w:r w:rsidR="009F397D">
        <w:rPr>
          <w:lang w:val="en-US"/>
        </w:rPr>
        <w:t>5</w:t>
      </w:r>
    </w:p>
    <w:p w14:paraId="30E17B38" w14:textId="34B29940" w:rsidR="009F397D" w:rsidRDefault="00D52212" w:rsidP="009F397D">
      <w:pPr>
        <w:rPr>
          <w:lang w:val="en-US"/>
        </w:rPr>
      </w:pPr>
      <w:r>
        <w:rPr>
          <w:lang w:val="en-US"/>
        </w:rPr>
        <w:t xml:space="preserve">As </w:t>
      </w:r>
      <w:r w:rsidR="00E665F3">
        <w:rPr>
          <w:lang w:val="en-US"/>
        </w:rPr>
        <w:t xml:space="preserve">pointed out also </w:t>
      </w:r>
      <w:r>
        <w:rPr>
          <w:lang w:val="en-US"/>
        </w:rPr>
        <w:t>by other companies</w:t>
      </w:r>
      <w:r w:rsidR="00E665F3">
        <w:rPr>
          <w:lang w:val="en-US"/>
        </w:rPr>
        <w:t xml:space="preserve"> in </w:t>
      </w:r>
      <w:r w:rsidR="00D04E6C">
        <w:rPr>
          <w:lang w:val="en-US"/>
        </w:rPr>
        <w:t>previous meetings</w:t>
      </w:r>
      <w:r>
        <w:rPr>
          <w:lang w:val="en-US"/>
        </w:rPr>
        <w:t xml:space="preserve">, R15 </w:t>
      </w:r>
      <w:r w:rsidR="00A46E05">
        <w:rPr>
          <w:lang w:val="en-US"/>
        </w:rPr>
        <w:t xml:space="preserve">baseline implementation is based on the fact that SSB is present within active BWP in RRC connected. </w:t>
      </w:r>
      <w:r w:rsidR="003B6379">
        <w:rPr>
          <w:lang w:val="en-US"/>
        </w:rPr>
        <w:t xml:space="preserve">A UE should have </w:t>
      </w:r>
      <w:r w:rsidR="00B91922">
        <w:rPr>
          <w:lang w:val="en-US"/>
        </w:rPr>
        <w:t xml:space="preserve">always possibility to read SSB if it </w:t>
      </w:r>
      <w:r w:rsidR="005E6E70">
        <w:rPr>
          <w:lang w:val="en-US"/>
        </w:rPr>
        <w:t>need</w:t>
      </w:r>
      <w:r w:rsidR="006A5A1B">
        <w:rPr>
          <w:lang w:val="en-US"/>
        </w:rPr>
        <w:t>s</w:t>
      </w:r>
      <w:r w:rsidR="00B91922">
        <w:rPr>
          <w:lang w:val="en-US"/>
        </w:rPr>
        <w:t>.</w:t>
      </w:r>
      <w:r w:rsidR="00CE5D76">
        <w:rPr>
          <w:lang w:val="en-US"/>
        </w:rPr>
        <w:t xml:space="preserve"> In fact</w:t>
      </w:r>
      <w:r w:rsidR="00E13253">
        <w:rPr>
          <w:lang w:val="en-US"/>
        </w:rPr>
        <w:t>,</w:t>
      </w:r>
      <w:r w:rsidR="00CE5D76">
        <w:rPr>
          <w:lang w:val="en-US"/>
        </w:rPr>
        <w:t xml:space="preserve"> </w:t>
      </w:r>
      <w:r w:rsidR="00E13253">
        <w:rPr>
          <w:lang w:val="en-US"/>
        </w:rPr>
        <w:t>SSB</w:t>
      </w:r>
      <w:r w:rsidR="0015346E">
        <w:rPr>
          <w:lang w:val="en-US"/>
        </w:rPr>
        <w:t xml:space="preserve"> periodicity would be typically 20ms unlike TRS (40ms). </w:t>
      </w:r>
      <w:r w:rsidR="00494019">
        <w:rPr>
          <w:lang w:val="en-US"/>
        </w:rPr>
        <w:t xml:space="preserve">Further, having the same behavior for HD TDD and HD FDD </w:t>
      </w:r>
      <w:r w:rsidR="00181BDC">
        <w:rPr>
          <w:lang w:val="en-US"/>
        </w:rPr>
        <w:t>simplifies RedCap UE design which is the main KPI</w:t>
      </w:r>
      <w:r w:rsidR="00792E06">
        <w:rPr>
          <w:lang w:val="en-US"/>
        </w:rPr>
        <w:t xml:space="preserve"> </w:t>
      </w:r>
      <w:r w:rsidR="004E0337">
        <w:rPr>
          <w:lang w:val="en-US"/>
        </w:rPr>
        <w:t>of the RedCap</w:t>
      </w:r>
      <w:r w:rsidR="00181BDC">
        <w:rPr>
          <w:lang w:val="en-US"/>
        </w:rPr>
        <w:t>.</w:t>
      </w:r>
      <w:r w:rsidR="00494019">
        <w:rPr>
          <w:lang w:val="en-US"/>
        </w:rPr>
        <w:t xml:space="preserve"> </w:t>
      </w:r>
      <w:r w:rsidR="00B91922">
        <w:rPr>
          <w:lang w:val="en-US"/>
        </w:rPr>
        <w:t xml:space="preserve">Therefore, </w:t>
      </w:r>
      <w:r w:rsidR="00A73B3D">
        <w:rPr>
          <w:lang w:val="en-US"/>
        </w:rPr>
        <w:t xml:space="preserve">we suggest </w:t>
      </w:r>
      <w:r w:rsidR="00C413DB">
        <w:rPr>
          <w:lang w:val="en-US"/>
        </w:rPr>
        <w:t>agreeing</w:t>
      </w:r>
      <w:r w:rsidR="000642F3">
        <w:rPr>
          <w:lang w:val="en-US"/>
        </w:rPr>
        <w:t xml:space="preserve"> on </w:t>
      </w:r>
      <w:r w:rsidR="00344BDB">
        <w:rPr>
          <w:lang w:val="en-US"/>
        </w:rPr>
        <w:t>Option 2</w:t>
      </w:r>
      <w:r w:rsidR="00D55654">
        <w:rPr>
          <w:lang w:val="en-US"/>
        </w:rPr>
        <w:t xml:space="preserve">. </w:t>
      </w:r>
    </w:p>
    <w:p w14:paraId="7E1B210B" w14:textId="2274F9E1" w:rsidR="00D55654" w:rsidRPr="00E665F3" w:rsidRDefault="00D55654" w:rsidP="009F397D">
      <w:pPr>
        <w:rPr>
          <w:i/>
          <w:iCs/>
          <w:lang w:val="en-US"/>
        </w:rPr>
      </w:pPr>
      <w:r w:rsidRPr="00E665F3">
        <w:rPr>
          <w:b/>
          <w:bCs/>
          <w:i/>
          <w:iCs/>
          <w:lang w:val="en-US"/>
        </w:rPr>
        <w:t>Proposal</w:t>
      </w:r>
      <w:r w:rsidR="00F830A8">
        <w:rPr>
          <w:b/>
          <w:bCs/>
          <w:i/>
          <w:iCs/>
          <w:lang w:val="en-US"/>
        </w:rPr>
        <w:t>-2</w:t>
      </w:r>
      <w:r w:rsidRPr="00E665F3">
        <w:rPr>
          <w:b/>
          <w:bCs/>
          <w:i/>
          <w:iCs/>
          <w:lang w:val="en-US"/>
        </w:rPr>
        <w:t>:</w:t>
      </w:r>
      <w:r w:rsidRPr="00E665F3">
        <w:rPr>
          <w:i/>
          <w:iCs/>
          <w:lang w:val="en-US"/>
        </w:rPr>
        <w:t xml:space="preserve"> For case 5, </w:t>
      </w:r>
      <w:r w:rsidR="00E665F3" w:rsidRPr="00E665F3">
        <w:rPr>
          <w:i/>
          <w:iCs/>
          <w:lang w:val="en-US"/>
        </w:rPr>
        <w:t>adopt Option 2 (</w:t>
      </w:r>
      <w:r w:rsidR="00953B1B">
        <w:rPr>
          <w:i/>
          <w:iCs/>
          <w:lang w:val="en-US"/>
        </w:rPr>
        <w:t xml:space="preserve">reuse </w:t>
      </w:r>
      <w:r w:rsidR="00232A16">
        <w:rPr>
          <w:i/>
          <w:iCs/>
          <w:lang w:val="en-US"/>
        </w:rPr>
        <w:t xml:space="preserve">current </w:t>
      </w:r>
      <w:r w:rsidR="00953B1B">
        <w:rPr>
          <w:i/>
          <w:iCs/>
          <w:lang w:val="en-US"/>
        </w:rPr>
        <w:t>spec</w:t>
      </w:r>
      <w:r w:rsidR="00232A16">
        <w:rPr>
          <w:i/>
          <w:iCs/>
          <w:lang w:val="en-US"/>
        </w:rPr>
        <w:t>ification</w:t>
      </w:r>
      <w:r w:rsidR="00953B1B">
        <w:rPr>
          <w:i/>
          <w:iCs/>
          <w:lang w:val="en-US"/>
        </w:rPr>
        <w:t xml:space="preserve"> for TDD</w:t>
      </w:r>
      <w:r w:rsidR="00E665F3" w:rsidRPr="00E665F3">
        <w:rPr>
          <w:i/>
          <w:iCs/>
          <w:lang w:val="en-US"/>
        </w:rPr>
        <w:t xml:space="preserve">) </w:t>
      </w:r>
      <w:r w:rsidR="00181BDC">
        <w:rPr>
          <w:i/>
          <w:iCs/>
          <w:lang w:val="en-US"/>
        </w:rPr>
        <w:t>for both</w:t>
      </w:r>
      <w:r w:rsidR="00E665F3" w:rsidRPr="00E665F3">
        <w:rPr>
          <w:i/>
          <w:iCs/>
          <w:lang w:val="en-US"/>
        </w:rPr>
        <w:t xml:space="preserve"> </w:t>
      </w:r>
      <w:r w:rsidR="00166A03">
        <w:rPr>
          <w:i/>
          <w:iCs/>
          <w:lang w:val="en-US"/>
        </w:rPr>
        <w:t xml:space="preserve">dynamic </w:t>
      </w:r>
      <w:r w:rsidR="00E665F3" w:rsidRPr="00E665F3">
        <w:rPr>
          <w:i/>
          <w:iCs/>
          <w:lang w:val="en-US"/>
        </w:rPr>
        <w:t>UL</w:t>
      </w:r>
      <w:r w:rsidR="00461676">
        <w:rPr>
          <w:i/>
          <w:iCs/>
          <w:lang w:val="en-US"/>
        </w:rPr>
        <w:t xml:space="preserve"> or configured UL</w:t>
      </w:r>
      <w:r w:rsidR="00E665F3" w:rsidRPr="00E665F3">
        <w:rPr>
          <w:i/>
          <w:iCs/>
          <w:lang w:val="en-US"/>
        </w:rPr>
        <w:t>.</w:t>
      </w:r>
    </w:p>
    <w:p w14:paraId="064905C6" w14:textId="2331C30D" w:rsidR="00275BE5" w:rsidRDefault="00275BE5" w:rsidP="00275BE5">
      <w:pPr>
        <w:pStyle w:val="Heading2"/>
        <w:rPr>
          <w:lang w:val="en-US"/>
        </w:rPr>
      </w:pPr>
      <w:r>
        <w:rPr>
          <w:lang w:val="en-US"/>
        </w:rPr>
        <w:t xml:space="preserve">Case </w:t>
      </w:r>
      <w:r w:rsidR="0073010E">
        <w:rPr>
          <w:lang w:val="en-US"/>
        </w:rPr>
        <w:t>8</w:t>
      </w:r>
    </w:p>
    <w:p w14:paraId="47148477" w14:textId="27460AD9" w:rsidR="00E137AB" w:rsidRPr="00E137AB" w:rsidRDefault="00E137AB" w:rsidP="00E137AB">
      <w:pPr>
        <w:rPr>
          <w:lang w:val="en-US"/>
        </w:rPr>
      </w:pPr>
      <w:r>
        <w:rPr>
          <w:lang w:val="en-US"/>
        </w:rPr>
        <w:t xml:space="preserve">Below excerpt shows the R16 </w:t>
      </w:r>
      <w:r w:rsidR="00D446E1">
        <w:rPr>
          <w:lang w:val="en-US"/>
        </w:rPr>
        <w:t xml:space="preserve">definition of valid RACH occasion </w:t>
      </w:r>
      <w:r w:rsidR="001B18FA">
        <w:rPr>
          <w:lang w:val="en-US"/>
        </w:rPr>
        <w:t>for FDD an TDD</w:t>
      </w:r>
      <w:r w:rsidR="00D04F91">
        <w:rPr>
          <w:lang w:val="en-US"/>
        </w:rPr>
        <w:t>.</w:t>
      </w:r>
    </w:p>
    <w:tbl>
      <w:tblPr>
        <w:tblStyle w:val="TableGrid"/>
        <w:tblW w:w="0" w:type="auto"/>
        <w:tblLook w:val="04A0" w:firstRow="1" w:lastRow="0" w:firstColumn="1" w:lastColumn="0" w:noHBand="0" w:noVBand="1"/>
      </w:tblPr>
      <w:tblGrid>
        <w:gridCol w:w="9629"/>
      </w:tblGrid>
      <w:tr w:rsidR="00E137AB" w14:paraId="70B9668D" w14:textId="77777777" w:rsidTr="00E137AB">
        <w:tc>
          <w:tcPr>
            <w:tcW w:w="9629" w:type="dxa"/>
          </w:tcPr>
          <w:p w14:paraId="13A03486" w14:textId="197320FE" w:rsidR="00E137AB" w:rsidRDefault="00E137AB" w:rsidP="00E137AB">
            <w:r w:rsidRPr="00162E2F">
              <w:t>For paired spectrum</w:t>
            </w:r>
            <w:r w:rsidR="005A2635">
              <w:t xml:space="preserve"> (FDD)</w:t>
            </w:r>
            <w:r w:rsidRPr="00162E2F">
              <w:t xml:space="preserve"> </w:t>
            </w:r>
            <w:r>
              <w:rPr>
                <w:rFonts w:eastAsia="Times New Roman"/>
              </w:rPr>
              <w:t>or supplementary uplink band</w:t>
            </w:r>
            <w:r w:rsidRPr="00162E2F">
              <w:t xml:space="preserve"> all PRACH occasions are valid. </w:t>
            </w:r>
          </w:p>
          <w:p w14:paraId="040BB18E" w14:textId="202A99F2" w:rsidR="00E137AB" w:rsidRDefault="00E137AB" w:rsidP="00E137AB">
            <w:r w:rsidRPr="00162E2F">
              <w:t>For unpaired spectrum</w:t>
            </w:r>
            <w:r w:rsidR="005A2635">
              <w:t xml:space="preserve"> (TDD)</w:t>
            </w:r>
            <w:r w:rsidRPr="00162E2F">
              <w:t xml:space="preserve">, </w:t>
            </w:r>
          </w:p>
          <w:p w14:paraId="4FA742E4" w14:textId="77777777" w:rsidR="00E137AB" w:rsidRPr="00162E2F" w:rsidRDefault="00E137AB" w:rsidP="00E137AB">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45733B5E" w14:textId="29B14D04" w:rsidR="00E137AB" w:rsidRDefault="00E137AB" w:rsidP="00E137AB">
            <w:pPr>
              <w:pStyle w:val="B2"/>
              <w:rPr>
                <w:highlight w:val="yellow"/>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tc>
      </w:tr>
    </w:tbl>
    <w:p w14:paraId="15E39B79" w14:textId="78333B77" w:rsidR="00843E48" w:rsidRPr="001B18FA" w:rsidRDefault="00D04F91" w:rsidP="0090752E">
      <w:r>
        <w:t xml:space="preserve">It remained open, </w:t>
      </w:r>
      <w:r w:rsidR="000A500C">
        <w:t xml:space="preserve">whether </w:t>
      </w:r>
      <w:r w:rsidR="00CE139C">
        <w:t>HD-FDD UE should follow TDD or FDD behaviour.</w:t>
      </w:r>
      <w:r w:rsidR="007624B7">
        <w:t xml:space="preserve"> On one side, gNB serving FDD and HD-FDD UEs </w:t>
      </w:r>
      <w:r w:rsidR="00AF7EBF">
        <w:t>needs to have</w:t>
      </w:r>
      <w:r w:rsidR="001E7121">
        <w:t xml:space="preserve"> the same SSB mapping </w:t>
      </w:r>
      <w:r w:rsidR="00EF1B24">
        <w:t xml:space="preserve">for both types of UEs. On the other side, half-duplex UE would like to have </w:t>
      </w:r>
      <w:r w:rsidR="00AF7EBF">
        <w:t xml:space="preserve">the </w:t>
      </w:r>
      <w:r w:rsidR="00EF1B24">
        <w:t xml:space="preserve">same </w:t>
      </w:r>
      <w:r w:rsidR="00AF7EBF">
        <w:t>collision</w:t>
      </w:r>
      <w:r w:rsidR="007E5934">
        <w:t xml:space="preserve"> handling </w:t>
      </w:r>
      <w:r w:rsidR="0090579E">
        <w:t>for HD-TDD and HD-FDD</w:t>
      </w:r>
      <w:r w:rsidR="00AF7EBF">
        <w:t>, to reduce</w:t>
      </w:r>
      <w:r w:rsidR="00635030">
        <w:t xml:space="preserve"> implementation</w:t>
      </w:r>
      <w:r w:rsidR="00AF7EBF">
        <w:t xml:space="preserve"> complexity</w:t>
      </w:r>
      <w:r w:rsidR="00635030">
        <w:t>.</w:t>
      </w:r>
    </w:p>
    <w:tbl>
      <w:tblPr>
        <w:tblStyle w:val="TableGrid"/>
        <w:tblW w:w="0" w:type="auto"/>
        <w:tblLook w:val="04A0" w:firstRow="1" w:lastRow="0" w:firstColumn="1" w:lastColumn="0" w:noHBand="0" w:noVBand="1"/>
      </w:tblPr>
      <w:tblGrid>
        <w:gridCol w:w="9629"/>
      </w:tblGrid>
      <w:tr w:rsidR="003B2DE5" w14:paraId="4F379441" w14:textId="77777777" w:rsidTr="003B2DE5">
        <w:tc>
          <w:tcPr>
            <w:tcW w:w="9629" w:type="dxa"/>
          </w:tcPr>
          <w:p w14:paraId="7951B91D" w14:textId="1DBD8CB8" w:rsidR="003B2DE5" w:rsidRDefault="003B2DE5" w:rsidP="0090752E">
            <w:r w:rsidRPr="003B2DE5">
              <w:rPr>
                <w:rFonts w:ascii="Times-Roman" w:hAnsi="Times-Roman"/>
                <w:color w:val="000000"/>
              </w:rPr>
              <w:t xml:space="preserve">SS/PBCH block indexes provided by </w:t>
            </w:r>
            <w:r w:rsidRPr="003B2DE5">
              <w:rPr>
                <w:rFonts w:ascii="Times-Italic" w:hAnsi="Times-Italic"/>
                <w:i/>
                <w:iCs/>
                <w:color w:val="000000"/>
              </w:rPr>
              <w:t xml:space="preserve">ssb-PositionsInBurst </w:t>
            </w:r>
            <w:r w:rsidRPr="003B2DE5">
              <w:rPr>
                <w:rFonts w:ascii="Times-Roman" w:hAnsi="Times-Roman"/>
                <w:color w:val="000000"/>
              </w:rPr>
              <w:t xml:space="preserve">in </w:t>
            </w:r>
            <w:r w:rsidRPr="003B2DE5">
              <w:rPr>
                <w:rFonts w:ascii="Times-Italic" w:hAnsi="Times-Italic"/>
                <w:i/>
                <w:iCs/>
                <w:color w:val="000000"/>
              </w:rPr>
              <w:t xml:space="preserve">SIB1 </w:t>
            </w:r>
            <w:r w:rsidRPr="003B2DE5">
              <w:rPr>
                <w:rFonts w:ascii="Times-Roman" w:hAnsi="Times-Roman"/>
                <w:color w:val="000000"/>
              </w:rPr>
              <w:t xml:space="preserve">or in </w:t>
            </w:r>
            <w:r w:rsidRPr="003B2DE5">
              <w:rPr>
                <w:rFonts w:ascii="Times-Italic" w:hAnsi="Times-Italic"/>
                <w:i/>
                <w:iCs/>
                <w:color w:val="000000"/>
              </w:rPr>
              <w:t xml:space="preserve">ServingCellConfigCommon </w:t>
            </w:r>
            <w:r w:rsidRPr="003B2DE5">
              <w:rPr>
                <w:rFonts w:ascii="Times-Roman" w:hAnsi="Times-Roman"/>
                <w:color w:val="000000"/>
              </w:rPr>
              <w:t>are mapped to</w:t>
            </w:r>
            <w:r w:rsidRPr="003B2DE5">
              <w:rPr>
                <w:rFonts w:ascii="Times-Roman" w:hAnsi="Times-Roman"/>
                <w:color w:val="000000"/>
              </w:rPr>
              <w:br/>
              <w:t>valid PRACH occasions in the following order where the parameters are described in [4, TS 38.211].</w:t>
            </w:r>
            <w:r w:rsidRPr="003B2DE5">
              <w:rPr>
                <w:rFonts w:ascii="Times-Roman" w:hAnsi="Times-Roman"/>
                <w:color w:val="000000"/>
              </w:rPr>
              <w:br/>
              <w:t>- First, in increasing order of preamble indexes within a single PRACH occasion</w:t>
            </w:r>
            <w:r w:rsidRPr="003B2DE5">
              <w:rPr>
                <w:rFonts w:ascii="Times-Roman" w:hAnsi="Times-Roman"/>
                <w:color w:val="000000"/>
              </w:rPr>
              <w:br/>
              <w:t>- Second, in increasing order of frequency resource indexes for frequency multiplexed PRACH occasions</w:t>
            </w:r>
            <w:r w:rsidRPr="003B2DE5">
              <w:rPr>
                <w:rFonts w:ascii="Times-Roman" w:hAnsi="Times-Roman"/>
                <w:color w:val="000000"/>
              </w:rPr>
              <w:br/>
              <w:t>- Third, in increasing order of time resource indexes for time multiplexed PRACH occasions within a PRACH slot</w:t>
            </w:r>
            <w:r w:rsidRPr="003B2DE5">
              <w:rPr>
                <w:rFonts w:ascii="Times-Roman" w:hAnsi="Times-Roman"/>
                <w:color w:val="000000"/>
              </w:rPr>
              <w:br/>
              <w:t>- Fourth, in increasing</w:t>
            </w:r>
          </w:p>
        </w:tc>
      </w:tr>
    </w:tbl>
    <w:p w14:paraId="459CD627" w14:textId="11600D55" w:rsidR="001B18FA" w:rsidRDefault="0090579E" w:rsidP="0090752E">
      <w:r>
        <w:t xml:space="preserve">Therefore, we </w:t>
      </w:r>
      <w:r w:rsidR="006A661C">
        <w:t xml:space="preserve">propose that </w:t>
      </w:r>
      <w:r w:rsidR="000129A5">
        <w:t xml:space="preserve">HD-FDD </w:t>
      </w:r>
      <w:r w:rsidR="003800E5">
        <w:t>follows definition</w:t>
      </w:r>
      <w:r w:rsidR="00F914B2">
        <w:t xml:space="preserve"> </w:t>
      </w:r>
      <w:r w:rsidR="00EE2FEB">
        <w:t xml:space="preserve">of </w:t>
      </w:r>
      <w:r w:rsidR="003800E5">
        <w:t>valid PRACH</w:t>
      </w:r>
      <w:r w:rsidR="00EE2FEB">
        <w:t xml:space="preserve"> as </w:t>
      </w:r>
      <w:r w:rsidR="00F914B2">
        <w:t>in TDD</w:t>
      </w:r>
      <w:r w:rsidR="00E97D38">
        <w:t xml:space="preserve"> when PRACH</w:t>
      </w:r>
      <w:r w:rsidR="003800E5">
        <w:t xml:space="preserve"> occasion</w:t>
      </w:r>
      <w:r w:rsidR="007E5934">
        <w:t xml:space="preserve"> determination</w:t>
      </w:r>
      <w:r w:rsidR="003800E5">
        <w:t>, but the</w:t>
      </w:r>
      <w:r w:rsidR="00A33F08">
        <w:t xml:space="preserve"> transmitted</w:t>
      </w:r>
      <w:r w:rsidR="003800E5">
        <w:t xml:space="preserve"> SSB</w:t>
      </w:r>
      <w:r w:rsidR="00A33F08">
        <w:t>s are</w:t>
      </w:r>
      <w:r w:rsidR="003800E5">
        <w:t xml:space="preserve"> mapp</w:t>
      </w:r>
      <w:r w:rsidR="00A33F08">
        <w:t xml:space="preserve">ed to </w:t>
      </w:r>
      <w:r w:rsidR="003800E5">
        <w:t xml:space="preserve">all </w:t>
      </w:r>
      <w:r w:rsidR="00004E2B">
        <w:t>PRACH occasions</w:t>
      </w:r>
      <w:r w:rsidR="00023B8B">
        <w:t xml:space="preserve"> instead</w:t>
      </w:r>
      <w:r w:rsidR="00004E2B">
        <w:t>,</w:t>
      </w:r>
      <w:r w:rsidR="00023B8B">
        <w:t xml:space="preserve"> i.e.</w:t>
      </w:r>
      <w:r w:rsidR="00004E2B">
        <w:t xml:space="preserve"> irrespective whether they are valid or not. </w:t>
      </w:r>
    </w:p>
    <w:p w14:paraId="30FAD660" w14:textId="5358CD15" w:rsidR="0090579E" w:rsidRPr="00ED2367" w:rsidRDefault="00004E2B" w:rsidP="0090752E">
      <w:pPr>
        <w:rPr>
          <w:i/>
          <w:iCs/>
        </w:rPr>
      </w:pPr>
      <w:r w:rsidRPr="00ED2367">
        <w:rPr>
          <w:b/>
          <w:bCs/>
          <w:i/>
          <w:iCs/>
        </w:rPr>
        <w:t>Proposal</w:t>
      </w:r>
      <w:r w:rsidR="00ED2367">
        <w:rPr>
          <w:b/>
          <w:bCs/>
          <w:i/>
          <w:iCs/>
        </w:rPr>
        <w:t>-</w:t>
      </w:r>
      <w:r w:rsidR="00A33F08">
        <w:rPr>
          <w:b/>
          <w:bCs/>
          <w:i/>
          <w:iCs/>
        </w:rPr>
        <w:t>3</w:t>
      </w:r>
      <w:r w:rsidRPr="00ED2367">
        <w:rPr>
          <w:b/>
          <w:bCs/>
          <w:i/>
          <w:iCs/>
        </w:rPr>
        <w:t>:</w:t>
      </w:r>
      <w:r w:rsidRPr="00ED2367">
        <w:rPr>
          <w:i/>
          <w:iCs/>
        </w:rPr>
        <w:t xml:space="preserve"> </w:t>
      </w:r>
      <w:r w:rsidR="00B81798" w:rsidRPr="00ED2367">
        <w:rPr>
          <w:i/>
          <w:iCs/>
        </w:rPr>
        <w:t>For HD-FDD</w:t>
      </w:r>
      <w:r w:rsidR="00103B01" w:rsidRPr="00ED2367">
        <w:rPr>
          <w:i/>
          <w:iCs/>
        </w:rPr>
        <w:t xml:space="preserve"> UE</w:t>
      </w:r>
      <w:r w:rsidR="00ED2367">
        <w:rPr>
          <w:i/>
          <w:iCs/>
        </w:rPr>
        <w:t>s</w:t>
      </w:r>
      <w:r w:rsidR="00B81798" w:rsidRPr="00ED2367">
        <w:rPr>
          <w:i/>
          <w:iCs/>
        </w:rPr>
        <w:t>, SSB</w:t>
      </w:r>
      <w:r w:rsidR="00801132" w:rsidRPr="00ED2367">
        <w:rPr>
          <w:i/>
          <w:iCs/>
        </w:rPr>
        <w:t>s</w:t>
      </w:r>
      <w:r w:rsidR="00B81798" w:rsidRPr="00ED2367">
        <w:rPr>
          <w:i/>
          <w:iCs/>
        </w:rPr>
        <w:t xml:space="preserve"> are mapped to </w:t>
      </w:r>
      <w:r w:rsidR="00ED2367" w:rsidRPr="00ED2367">
        <w:rPr>
          <w:i/>
          <w:iCs/>
        </w:rPr>
        <w:t xml:space="preserve">all </w:t>
      </w:r>
      <w:r w:rsidR="00B81798" w:rsidRPr="00ED2367">
        <w:rPr>
          <w:i/>
          <w:iCs/>
        </w:rPr>
        <w:t xml:space="preserve">PRACH </w:t>
      </w:r>
      <w:r w:rsidR="00ED2367" w:rsidRPr="00C972FC">
        <w:rPr>
          <w:i/>
          <w:iCs/>
        </w:rPr>
        <w:t xml:space="preserve">occasions, </w:t>
      </w:r>
      <w:r w:rsidR="00C972FC" w:rsidRPr="00C972FC">
        <w:rPr>
          <w:i/>
          <w:iCs/>
        </w:rPr>
        <w:t>irrespective whether they are valid or not</w:t>
      </w:r>
      <w:r w:rsidR="00ED2367" w:rsidRPr="00C972FC">
        <w:rPr>
          <w:i/>
          <w:iCs/>
        </w:rPr>
        <w:t>.</w:t>
      </w:r>
      <w:r w:rsidR="00EE7831">
        <w:rPr>
          <w:i/>
          <w:iCs/>
        </w:rPr>
        <w:t xml:space="preserve"> Valid PRACH occasions definition </w:t>
      </w:r>
      <w:r w:rsidR="00C972FC">
        <w:rPr>
          <w:i/>
          <w:iCs/>
        </w:rPr>
        <w:t>of TDD is used for HD-FDD</w:t>
      </w:r>
      <w:r w:rsidR="00B1280E">
        <w:rPr>
          <w:i/>
          <w:iCs/>
        </w:rPr>
        <w:t>.</w:t>
      </w:r>
    </w:p>
    <w:p w14:paraId="3C495264" w14:textId="2F2D29AC" w:rsidR="005A7528" w:rsidRPr="005A7528" w:rsidRDefault="005A7528" w:rsidP="009F397D">
      <w:pPr>
        <w:rPr>
          <w:lang w:val="en-US"/>
        </w:rPr>
      </w:pPr>
      <w:r w:rsidRPr="005A7528">
        <w:rPr>
          <w:lang w:val="en-US"/>
        </w:rPr>
        <w:t>Furthermore</w:t>
      </w:r>
      <w:r w:rsidR="000437C3">
        <w:rPr>
          <w:lang w:val="en-US"/>
        </w:rPr>
        <w:t>, valid RO collision with cell-specific configured DL,</w:t>
      </w:r>
      <w:r w:rsidR="00B37CF0">
        <w:rPr>
          <w:lang w:val="en-US"/>
        </w:rPr>
        <w:t xml:space="preserve"> dedicated configured DL and dynamic DL has multiple options to consider. As mentioned already, for us, the legacy </w:t>
      </w:r>
      <w:r w:rsidR="003340F0">
        <w:rPr>
          <w:lang w:val="en-US"/>
        </w:rPr>
        <w:t>TDD behavior is strongly preferred</w:t>
      </w:r>
      <w:r w:rsidR="001F4BD3">
        <w:rPr>
          <w:lang w:val="en-US"/>
        </w:rPr>
        <w:t xml:space="preserve"> irrespective of type of DL</w:t>
      </w:r>
      <w:r w:rsidR="003340F0">
        <w:rPr>
          <w:lang w:val="en-US"/>
        </w:rPr>
        <w:t xml:space="preserve">. This to reduce complexity for UEs </w:t>
      </w:r>
      <w:r w:rsidR="007D1381">
        <w:rPr>
          <w:lang w:val="en-US"/>
        </w:rPr>
        <w:t>without duplexer supporting both HD-FDD and TDD.</w:t>
      </w:r>
      <w:r w:rsidR="003340F0">
        <w:rPr>
          <w:lang w:val="en-US"/>
        </w:rPr>
        <w:t xml:space="preserve"> </w:t>
      </w:r>
    </w:p>
    <w:p w14:paraId="6997F96F" w14:textId="685FAAE7" w:rsidR="00275BE5" w:rsidRPr="00C24368" w:rsidRDefault="0032524F" w:rsidP="009F397D">
      <w:pPr>
        <w:rPr>
          <w:i/>
          <w:iCs/>
          <w:lang w:val="en-US"/>
        </w:rPr>
      </w:pPr>
      <w:r w:rsidRPr="00C24368">
        <w:rPr>
          <w:b/>
          <w:bCs/>
          <w:i/>
          <w:iCs/>
          <w:lang w:val="en-US"/>
        </w:rPr>
        <w:t>Proposal</w:t>
      </w:r>
      <w:r w:rsidR="00F830A8">
        <w:rPr>
          <w:b/>
          <w:bCs/>
          <w:i/>
          <w:iCs/>
          <w:lang w:val="en-US"/>
        </w:rPr>
        <w:t>-</w:t>
      </w:r>
      <w:r w:rsidR="00D76CE1">
        <w:rPr>
          <w:b/>
          <w:bCs/>
          <w:i/>
          <w:iCs/>
          <w:lang w:val="en-US"/>
        </w:rPr>
        <w:t>4</w:t>
      </w:r>
      <w:r w:rsidRPr="00C24368">
        <w:rPr>
          <w:b/>
          <w:bCs/>
          <w:i/>
          <w:iCs/>
          <w:lang w:val="en-US"/>
        </w:rPr>
        <w:t>:</w:t>
      </w:r>
      <w:r w:rsidRPr="00C24368">
        <w:rPr>
          <w:i/>
          <w:iCs/>
          <w:lang w:val="en-US"/>
        </w:rPr>
        <w:t xml:space="preserve"> For RedCap UE</w:t>
      </w:r>
      <w:r w:rsidR="000B7B8D">
        <w:rPr>
          <w:i/>
          <w:iCs/>
          <w:lang w:val="en-US"/>
        </w:rPr>
        <w:t xml:space="preserve"> in R17</w:t>
      </w:r>
      <w:r w:rsidR="00971033">
        <w:rPr>
          <w:i/>
          <w:iCs/>
          <w:lang w:val="en-US"/>
        </w:rPr>
        <w:t xml:space="preserve"> and case 8</w:t>
      </w:r>
      <w:r w:rsidRPr="00C24368">
        <w:rPr>
          <w:i/>
          <w:iCs/>
          <w:lang w:val="en-US"/>
        </w:rPr>
        <w:t xml:space="preserve">, valid </w:t>
      </w:r>
      <w:r w:rsidR="00B1280E">
        <w:rPr>
          <w:i/>
          <w:iCs/>
          <w:lang w:val="en-US"/>
        </w:rPr>
        <w:t>P</w:t>
      </w:r>
      <w:r w:rsidRPr="00C24368">
        <w:rPr>
          <w:i/>
          <w:iCs/>
          <w:lang w:val="en-US"/>
        </w:rPr>
        <w:t xml:space="preserve">RACH occasion is prioritized over </w:t>
      </w:r>
      <w:r w:rsidR="001024E0">
        <w:rPr>
          <w:i/>
          <w:iCs/>
          <w:lang w:val="en-US"/>
        </w:rPr>
        <w:t>configured or dynamic</w:t>
      </w:r>
      <w:r w:rsidR="00C24368" w:rsidRPr="00C24368">
        <w:rPr>
          <w:i/>
          <w:iCs/>
          <w:lang w:val="en-US"/>
        </w:rPr>
        <w:t xml:space="preserve"> DL.</w:t>
      </w:r>
    </w:p>
    <w:p w14:paraId="0D827FAF" w14:textId="639ADBD0" w:rsidR="0034111C" w:rsidRDefault="00B3582D">
      <w:pPr>
        <w:pStyle w:val="Heading1"/>
        <w:rPr>
          <w:color w:val="000000" w:themeColor="text1"/>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6EF9CA5" w14:textId="4554A919" w:rsidR="006C0E8A" w:rsidRPr="006C0E8A" w:rsidRDefault="006C0E8A" w:rsidP="006C0E8A">
      <w:r>
        <w:t xml:space="preserve">We discussed </w:t>
      </w:r>
      <w:r w:rsidR="00971033">
        <w:t>remaining open issues on directional collisions of HD-FDD UE and we have the following observations and proposals:</w:t>
      </w:r>
    </w:p>
    <w:p w14:paraId="27AF2B38" w14:textId="77777777" w:rsidR="007B0391" w:rsidRDefault="007B0391" w:rsidP="007B0391">
      <w:pPr>
        <w:rPr>
          <w:b/>
          <w:bCs/>
          <w:i/>
          <w:iCs/>
          <w:lang w:val="en-US"/>
        </w:rPr>
      </w:pPr>
      <w:r>
        <w:rPr>
          <w:b/>
          <w:bCs/>
          <w:i/>
          <w:iCs/>
          <w:lang w:val="en-US"/>
        </w:rPr>
        <w:t xml:space="preserve">Proposal 1: </w:t>
      </w:r>
      <w:r w:rsidRPr="007B0391">
        <w:rPr>
          <w:i/>
          <w:iCs/>
          <w:lang w:val="en-US"/>
        </w:rPr>
        <w:t xml:space="preserve">Agree on RAN1#105 [FL4] High Priority Proposal 3.3-1 </w:t>
      </w:r>
    </w:p>
    <w:p w14:paraId="0619BF84" w14:textId="77777777" w:rsidR="007B0391" w:rsidRPr="00E665F3" w:rsidRDefault="007B0391" w:rsidP="007B0391">
      <w:pPr>
        <w:rPr>
          <w:i/>
          <w:iCs/>
          <w:lang w:val="en-US"/>
        </w:rPr>
      </w:pPr>
      <w:r w:rsidRPr="00E665F3">
        <w:rPr>
          <w:b/>
          <w:bCs/>
          <w:i/>
          <w:iCs/>
          <w:lang w:val="en-US"/>
        </w:rPr>
        <w:t>Proposal</w:t>
      </w:r>
      <w:r>
        <w:rPr>
          <w:b/>
          <w:bCs/>
          <w:i/>
          <w:iCs/>
          <w:lang w:val="en-US"/>
        </w:rPr>
        <w:t>-2</w:t>
      </w:r>
      <w:r w:rsidRPr="00E665F3">
        <w:rPr>
          <w:b/>
          <w:bCs/>
          <w:i/>
          <w:iCs/>
          <w:lang w:val="en-US"/>
        </w:rPr>
        <w:t>:</w:t>
      </w:r>
      <w:r w:rsidRPr="00E665F3">
        <w:rPr>
          <w:i/>
          <w:iCs/>
          <w:lang w:val="en-US"/>
        </w:rPr>
        <w:t xml:space="preserve"> For case 5, adopt Option 2 (</w:t>
      </w:r>
      <w:r>
        <w:rPr>
          <w:i/>
          <w:iCs/>
          <w:lang w:val="en-US"/>
        </w:rPr>
        <w:t>reuse current specification for TDD</w:t>
      </w:r>
      <w:r w:rsidRPr="00E665F3">
        <w:rPr>
          <w:i/>
          <w:iCs/>
          <w:lang w:val="en-US"/>
        </w:rPr>
        <w:t xml:space="preserve">) </w:t>
      </w:r>
      <w:r>
        <w:rPr>
          <w:i/>
          <w:iCs/>
          <w:lang w:val="en-US"/>
        </w:rPr>
        <w:t>for both</w:t>
      </w:r>
      <w:r w:rsidRPr="00E665F3">
        <w:rPr>
          <w:i/>
          <w:iCs/>
          <w:lang w:val="en-US"/>
        </w:rPr>
        <w:t xml:space="preserve"> </w:t>
      </w:r>
      <w:r>
        <w:rPr>
          <w:i/>
          <w:iCs/>
          <w:lang w:val="en-US"/>
        </w:rPr>
        <w:t xml:space="preserve">dynamic </w:t>
      </w:r>
      <w:r w:rsidRPr="00E665F3">
        <w:rPr>
          <w:i/>
          <w:iCs/>
          <w:lang w:val="en-US"/>
        </w:rPr>
        <w:t>UL</w:t>
      </w:r>
      <w:r>
        <w:rPr>
          <w:i/>
          <w:iCs/>
          <w:lang w:val="en-US"/>
        </w:rPr>
        <w:t xml:space="preserve"> or configured UL</w:t>
      </w:r>
      <w:r w:rsidRPr="00E665F3">
        <w:rPr>
          <w:i/>
          <w:iCs/>
          <w:lang w:val="en-US"/>
        </w:rPr>
        <w:t>.</w:t>
      </w:r>
    </w:p>
    <w:p w14:paraId="24D4D8F6" w14:textId="77777777" w:rsidR="007B0391" w:rsidRPr="00ED2367" w:rsidRDefault="007B0391" w:rsidP="007B0391">
      <w:pPr>
        <w:rPr>
          <w:i/>
          <w:iCs/>
        </w:rPr>
      </w:pPr>
      <w:r w:rsidRPr="00ED2367">
        <w:rPr>
          <w:b/>
          <w:bCs/>
          <w:i/>
          <w:iCs/>
        </w:rPr>
        <w:t>Proposal</w:t>
      </w:r>
      <w:r>
        <w:rPr>
          <w:b/>
          <w:bCs/>
          <w:i/>
          <w:iCs/>
        </w:rPr>
        <w:t>-3</w:t>
      </w:r>
      <w:r w:rsidRPr="00ED2367">
        <w:rPr>
          <w:b/>
          <w:bCs/>
          <w:i/>
          <w:iCs/>
        </w:rPr>
        <w:t>:</w:t>
      </w:r>
      <w:r w:rsidRPr="00ED2367">
        <w:rPr>
          <w:i/>
          <w:iCs/>
        </w:rPr>
        <w:t xml:space="preserve"> For HD-FDD UE</w:t>
      </w:r>
      <w:r>
        <w:rPr>
          <w:i/>
          <w:iCs/>
        </w:rPr>
        <w:t>s</w:t>
      </w:r>
      <w:r w:rsidRPr="00ED2367">
        <w:rPr>
          <w:i/>
          <w:iCs/>
        </w:rPr>
        <w:t xml:space="preserve">, SSBs are mapped to all PRACH </w:t>
      </w:r>
      <w:r w:rsidRPr="00C972FC">
        <w:rPr>
          <w:i/>
          <w:iCs/>
        </w:rPr>
        <w:t>occasions, irrespective whether they are valid or not.</w:t>
      </w:r>
      <w:r>
        <w:rPr>
          <w:i/>
          <w:iCs/>
        </w:rPr>
        <w:t xml:space="preserve"> Valid PRACH occasions definition of TDD is used for HD-FDD.</w:t>
      </w:r>
    </w:p>
    <w:p w14:paraId="14941D14" w14:textId="77777777" w:rsidR="007B0391" w:rsidRPr="00C24368" w:rsidRDefault="007B0391" w:rsidP="007B0391">
      <w:pPr>
        <w:rPr>
          <w:i/>
          <w:iCs/>
          <w:lang w:val="en-US"/>
        </w:rPr>
      </w:pPr>
      <w:r w:rsidRPr="00C24368">
        <w:rPr>
          <w:b/>
          <w:bCs/>
          <w:i/>
          <w:iCs/>
          <w:lang w:val="en-US"/>
        </w:rPr>
        <w:t>Proposal</w:t>
      </w:r>
      <w:r>
        <w:rPr>
          <w:b/>
          <w:bCs/>
          <w:i/>
          <w:iCs/>
          <w:lang w:val="en-US"/>
        </w:rPr>
        <w:t>-4</w:t>
      </w:r>
      <w:r w:rsidRPr="00C24368">
        <w:rPr>
          <w:b/>
          <w:bCs/>
          <w:i/>
          <w:iCs/>
          <w:lang w:val="en-US"/>
        </w:rPr>
        <w:t>:</w:t>
      </w:r>
      <w:r w:rsidRPr="00C24368">
        <w:rPr>
          <w:i/>
          <w:iCs/>
          <w:lang w:val="en-US"/>
        </w:rPr>
        <w:t xml:space="preserve"> For RedCap UE</w:t>
      </w:r>
      <w:r>
        <w:rPr>
          <w:i/>
          <w:iCs/>
          <w:lang w:val="en-US"/>
        </w:rPr>
        <w:t xml:space="preserve"> in R17 and case 8</w:t>
      </w:r>
      <w:r w:rsidRPr="00C24368">
        <w:rPr>
          <w:i/>
          <w:iCs/>
          <w:lang w:val="en-US"/>
        </w:rPr>
        <w:t xml:space="preserve">, valid </w:t>
      </w:r>
      <w:r>
        <w:rPr>
          <w:i/>
          <w:iCs/>
          <w:lang w:val="en-US"/>
        </w:rPr>
        <w:t>P</w:t>
      </w:r>
      <w:r w:rsidRPr="00C24368">
        <w:rPr>
          <w:i/>
          <w:iCs/>
          <w:lang w:val="en-US"/>
        </w:rPr>
        <w:t xml:space="preserve">RACH occasion is prioritized over </w:t>
      </w:r>
      <w:r>
        <w:rPr>
          <w:i/>
          <w:iCs/>
          <w:lang w:val="en-US"/>
        </w:rPr>
        <w:t>configured or dynamic</w:t>
      </w:r>
      <w:r w:rsidRPr="00C24368">
        <w:rPr>
          <w:i/>
          <w:iCs/>
          <w:lang w:val="en-US"/>
        </w:rPr>
        <w:t xml:space="preserve"> DL.</w:t>
      </w:r>
    </w:p>
    <w:p w14:paraId="001DA083" w14:textId="5C729EFA" w:rsidR="00431F02" w:rsidRPr="00431F02" w:rsidRDefault="00431F02" w:rsidP="00314358">
      <w:pPr>
        <w:pStyle w:val="Heading1"/>
      </w:pPr>
      <w:r>
        <w:t xml:space="preserve">References </w:t>
      </w:r>
    </w:p>
    <w:p w14:paraId="5A5F4FD0" w14:textId="52AE2F30" w:rsidR="00431F02" w:rsidRDefault="00431F02" w:rsidP="00431F02">
      <w:pPr>
        <w:numPr>
          <w:ilvl w:val="0"/>
          <w:numId w:val="1"/>
        </w:numPr>
        <w:tabs>
          <w:tab w:val="clear" w:pos="502"/>
          <w:tab w:val="num" w:pos="360"/>
        </w:tabs>
        <w:ind w:left="357"/>
        <w:rPr>
          <w:lang w:val="en-US"/>
        </w:rPr>
      </w:pPr>
      <w:r w:rsidRPr="009E5396">
        <w:rPr>
          <w:lang w:val="en-US"/>
        </w:rPr>
        <w:t>R1-2106244, “</w:t>
      </w:r>
      <w:r w:rsidRPr="009E5396">
        <w:rPr>
          <w:i/>
          <w:iCs/>
          <w:lang w:val="en-US"/>
        </w:rPr>
        <w:t>FL summary</w:t>
      </w:r>
      <w:r w:rsidRPr="00130348">
        <w:rPr>
          <w:i/>
          <w:iCs/>
          <w:lang w:val="en-US"/>
        </w:rPr>
        <w:t xml:space="preserve"> #3 on duplex operation for RedCap</w:t>
      </w:r>
      <w:r>
        <w:rPr>
          <w:lang w:val="en-US"/>
        </w:rPr>
        <w:t xml:space="preserve">”, </w:t>
      </w:r>
      <w:r w:rsidRPr="008E11BE">
        <w:rPr>
          <w:lang w:val="en-US"/>
        </w:rPr>
        <w:t>Moderator (Qualcomm)</w:t>
      </w:r>
    </w:p>
    <w:sectPr w:rsidR="00431F0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BB36A" w14:textId="77777777" w:rsidR="002562F8" w:rsidRDefault="002562F8">
      <w:r>
        <w:separator/>
      </w:r>
    </w:p>
  </w:endnote>
  <w:endnote w:type="continuationSeparator" w:id="0">
    <w:p w14:paraId="257EAE32" w14:textId="77777777" w:rsidR="002562F8" w:rsidRDefault="002562F8">
      <w:r>
        <w:continuationSeparator/>
      </w:r>
    </w:p>
  </w:endnote>
  <w:endnote w:type="continuationNotice" w:id="1">
    <w:p w14:paraId="39D04EB3" w14:textId="77777777" w:rsidR="002562F8" w:rsidRDefault="0025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E34A3" w14:textId="77777777" w:rsidR="002562F8" w:rsidRDefault="002562F8">
      <w:r>
        <w:separator/>
      </w:r>
    </w:p>
  </w:footnote>
  <w:footnote w:type="continuationSeparator" w:id="0">
    <w:p w14:paraId="5FFC36D1" w14:textId="77777777" w:rsidR="002562F8" w:rsidRDefault="002562F8">
      <w:r>
        <w:continuationSeparator/>
      </w:r>
    </w:p>
  </w:footnote>
  <w:footnote w:type="continuationNotice" w:id="1">
    <w:p w14:paraId="684D5E64" w14:textId="77777777" w:rsidR="002562F8" w:rsidRDefault="00256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55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0"/>
  </w:num>
  <w:num w:numId="2">
    <w:abstractNumId w:val="5"/>
  </w:num>
  <w:num w:numId="3">
    <w:abstractNumId w:val="17"/>
  </w:num>
  <w:num w:numId="4">
    <w:abstractNumId w:val="25"/>
  </w:num>
  <w:num w:numId="5">
    <w:abstractNumId w:val="18"/>
  </w:num>
  <w:num w:numId="6">
    <w:abstractNumId w:val="15"/>
  </w:num>
  <w:num w:numId="7">
    <w:abstractNumId w:val="3"/>
  </w:num>
  <w:num w:numId="8">
    <w:abstractNumId w:val="23"/>
  </w:num>
  <w:num w:numId="9">
    <w:abstractNumId w:val="12"/>
  </w:num>
  <w:num w:numId="10">
    <w:abstractNumId w:val="21"/>
  </w:num>
  <w:num w:numId="11">
    <w:abstractNumId w:val="16"/>
  </w:num>
  <w:num w:numId="12">
    <w:abstractNumId w:val="7"/>
  </w:num>
  <w:num w:numId="13">
    <w:abstractNumId w:val="1"/>
  </w:num>
  <w:num w:numId="14">
    <w:abstractNumId w:val="2"/>
  </w:num>
  <w:num w:numId="15">
    <w:abstractNumId w:val="22"/>
  </w:num>
  <w:num w:numId="16">
    <w:abstractNumId w:val="0"/>
  </w:num>
  <w:num w:numId="17">
    <w:abstractNumId w:val="19"/>
  </w:num>
  <w:num w:numId="18">
    <w:abstractNumId w:val="20"/>
  </w:num>
  <w:num w:numId="19">
    <w:abstractNumId w:val="24"/>
  </w:num>
  <w:num w:numId="20">
    <w:abstractNumId w:val="8"/>
  </w:num>
  <w:num w:numId="21">
    <w:abstractNumId w:val="14"/>
  </w:num>
  <w:num w:numId="22">
    <w:abstractNumId w:val="11"/>
  </w:num>
  <w:num w:numId="23">
    <w:abstractNumId w:val="9"/>
  </w:num>
  <w:num w:numId="24">
    <w:abstractNumId w:val="6"/>
  </w:num>
  <w:num w:numId="25">
    <w:abstractNumId w:val="13"/>
  </w:num>
  <w:num w:numId="26">
    <w:abstractNumId w:val="4"/>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AC8"/>
    <w:rsid w:val="00004DC0"/>
    <w:rsid w:val="00004E2B"/>
    <w:rsid w:val="000056D7"/>
    <w:rsid w:val="00006055"/>
    <w:rsid w:val="000065B4"/>
    <w:rsid w:val="00006AD4"/>
    <w:rsid w:val="00006F8F"/>
    <w:rsid w:val="000074C4"/>
    <w:rsid w:val="000079A6"/>
    <w:rsid w:val="000101B2"/>
    <w:rsid w:val="00011235"/>
    <w:rsid w:val="00011BB2"/>
    <w:rsid w:val="0001217C"/>
    <w:rsid w:val="00012505"/>
    <w:rsid w:val="0001262C"/>
    <w:rsid w:val="000129A5"/>
    <w:rsid w:val="00012C4F"/>
    <w:rsid w:val="000131D1"/>
    <w:rsid w:val="000131D2"/>
    <w:rsid w:val="00013455"/>
    <w:rsid w:val="000134E3"/>
    <w:rsid w:val="00013632"/>
    <w:rsid w:val="000137FC"/>
    <w:rsid w:val="00013F5E"/>
    <w:rsid w:val="0001403F"/>
    <w:rsid w:val="00014091"/>
    <w:rsid w:val="0001411B"/>
    <w:rsid w:val="000144C4"/>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5B6"/>
    <w:rsid w:val="000217B2"/>
    <w:rsid w:val="0002348B"/>
    <w:rsid w:val="00023742"/>
    <w:rsid w:val="000239FA"/>
    <w:rsid w:val="00023B8B"/>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640"/>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B99"/>
    <w:rsid w:val="00042CAA"/>
    <w:rsid w:val="00042EB5"/>
    <w:rsid w:val="0004335D"/>
    <w:rsid w:val="000437C3"/>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664"/>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2F3"/>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617"/>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4BE"/>
    <w:rsid w:val="000879AD"/>
    <w:rsid w:val="00087C0B"/>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00C"/>
    <w:rsid w:val="000A54EE"/>
    <w:rsid w:val="000A64B9"/>
    <w:rsid w:val="000A6796"/>
    <w:rsid w:val="000A6A23"/>
    <w:rsid w:val="000A6EE8"/>
    <w:rsid w:val="000A7550"/>
    <w:rsid w:val="000A7BC5"/>
    <w:rsid w:val="000A7F64"/>
    <w:rsid w:val="000B097E"/>
    <w:rsid w:val="000B09BC"/>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B7B8D"/>
    <w:rsid w:val="000C08DF"/>
    <w:rsid w:val="000C1D59"/>
    <w:rsid w:val="000C2614"/>
    <w:rsid w:val="000C3047"/>
    <w:rsid w:val="000C3992"/>
    <w:rsid w:val="000C3B02"/>
    <w:rsid w:val="000C3F65"/>
    <w:rsid w:val="000C404D"/>
    <w:rsid w:val="000C450F"/>
    <w:rsid w:val="000C501D"/>
    <w:rsid w:val="000C538A"/>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3CB"/>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4E0"/>
    <w:rsid w:val="0010275F"/>
    <w:rsid w:val="00102C9F"/>
    <w:rsid w:val="00102D72"/>
    <w:rsid w:val="001035D7"/>
    <w:rsid w:val="001036C8"/>
    <w:rsid w:val="00103B01"/>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3AD3"/>
    <w:rsid w:val="00114004"/>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48"/>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47F8A"/>
    <w:rsid w:val="00150175"/>
    <w:rsid w:val="001502C8"/>
    <w:rsid w:val="00150B49"/>
    <w:rsid w:val="00150C55"/>
    <w:rsid w:val="0015130F"/>
    <w:rsid w:val="00151E0E"/>
    <w:rsid w:val="0015346E"/>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6A03"/>
    <w:rsid w:val="001670EA"/>
    <w:rsid w:val="001674A0"/>
    <w:rsid w:val="001676D2"/>
    <w:rsid w:val="001708F4"/>
    <w:rsid w:val="00170927"/>
    <w:rsid w:val="00170A50"/>
    <w:rsid w:val="00170E01"/>
    <w:rsid w:val="00171F0C"/>
    <w:rsid w:val="001722E6"/>
    <w:rsid w:val="00172DF7"/>
    <w:rsid w:val="001739CC"/>
    <w:rsid w:val="00173BE9"/>
    <w:rsid w:val="00174F5C"/>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BDC"/>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4D1"/>
    <w:rsid w:val="00186904"/>
    <w:rsid w:val="001869F2"/>
    <w:rsid w:val="00186B0A"/>
    <w:rsid w:val="00186C32"/>
    <w:rsid w:val="00186C5C"/>
    <w:rsid w:val="00186FEB"/>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A7DC8"/>
    <w:rsid w:val="001B01FA"/>
    <w:rsid w:val="001B0832"/>
    <w:rsid w:val="001B0D28"/>
    <w:rsid w:val="001B18A7"/>
    <w:rsid w:val="001B18FA"/>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2F5"/>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121"/>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BD3"/>
    <w:rsid w:val="001F4DAC"/>
    <w:rsid w:val="001F5019"/>
    <w:rsid w:val="001F5D49"/>
    <w:rsid w:val="001F5EA7"/>
    <w:rsid w:val="001F60BB"/>
    <w:rsid w:val="001F650F"/>
    <w:rsid w:val="001F67AA"/>
    <w:rsid w:val="001F67BD"/>
    <w:rsid w:val="001F73C3"/>
    <w:rsid w:val="001F7599"/>
    <w:rsid w:val="002005C0"/>
    <w:rsid w:val="002006A3"/>
    <w:rsid w:val="00200E97"/>
    <w:rsid w:val="0020189F"/>
    <w:rsid w:val="00202136"/>
    <w:rsid w:val="002021D1"/>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0FB4"/>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16"/>
    <w:rsid w:val="00232A55"/>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330"/>
    <w:rsid w:val="00244595"/>
    <w:rsid w:val="00244652"/>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2F8"/>
    <w:rsid w:val="002568D0"/>
    <w:rsid w:val="00256B73"/>
    <w:rsid w:val="00256C0A"/>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5BE5"/>
    <w:rsid w:val="002763E9"/>
    <w:rsid w:val="00276736"/>
    <w:rsid w:val="00276CFC"/>
    <w:rsid w:val="002801F8"/>
    <w:rsid w:val="0028035D"/>
    <w:rsid w:val="00280F39"/>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11E"/>
    <w:rsid w:val="002A5631"/>
    <w:rsid w:val="002A58F3"/>
    <w:rsid w:val="002A6014"/>
    <w:rsid w:val="002A6023"/>
    <w:rsid w:val="002A607D"/>
    <w:rsid w:val="002B0878"/>
    <w:rsid w:val="002B0CE0"/>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247"/>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18"/>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6B96"/>
    <w:rsid w:val="003070AC"/>
    <w:rsid w:val="003071F6"/>
    <w:rsid w:val="00307518"/>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BF8"/>
    <w:rsid w:val="00321154"/>
    <w:rsid w:val="003211B0"/>
    <w:rsid w:val="003212D4"/>
    <w:rsid w:val="00321A15"/>
    <w:rsid w:val="00321EDA"/>
    <w:rsid w:val="00321F92"/>
    <w:rsid w:val="0032235B"/>
    <w:rsid w:val="003224AA"/>
    <w:rsid w:val="003224E7"/>
    <w:rsid w:val="00323789"/>
    <w:rsid w:val="00323DB2"/>
    <w:rsid w:val="0032524F"/>
    <w:rsid w:val="0032527A"/>
    <w:rsid w:val="003254F7"/>
    <w:rsid w:val="00325667"/>
    <w:rsid w:val="00325D7A"/>
    <w:rsid w:val="003260B6"/>
    <w:rsid w:val="00326145"/>
    <w:rsid w:val="00327163"/>
    <w:rsid w:val="00327305"/>
    <w:rsid w:val="00327511"/>
    <w:rsid w:val="00327531"/>
    <w:rsid w:val="00327CA0"/>
    <w:rsid w:val="00330187"/>
    <w:rsid w:val="00330207"/>
    <w:rsid w:val="003303B6"/>
    <w:rsid w:val="00331833"/>
    <w:rsid w:val="00331C77"/>
    <w:rsid w:val="00331DB6"/>
    <w:rsid w:val="00331F96"/>
    <w:rsid w:val="00332022"/>
    <w:rsid w:val="0033237D"/>
    <w:rsid w:val="00332B55"/>
    <w:rsid w:val="00332B85"/>
    <w:rsid w:val="00332C00"/>
    <w:rsid w:val="003340F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BDB"/>
    <w:rsid w:val="00344DCD"/>
    <w:rsid w:val="00344E96"/>
    <w:rsid w:val="0034535E"/>
    <w:rsid w:val="003453B6"/>
    <w:rsid w:val="00345405"/>
    <w:rsid w:val="00345BCF"/>
    <w:rsid w:val="00345DDD"/>
    <w:rsid w:val="00346BEC"/>
    <w:rsid w:val="00346C1C"/>
    <w:rsid w:val="00346FED"/>
    <w:rsid w:val="003475F3"/>
    <w:rsid w:val="003476C7"/>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034"/>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0E5"/>
    <w:rsid w:val="0038085D"/>
    <w:rsid w:val="0038099B"/>
    <w:rsid w:val="00380F3F"/>
    <w:rsid w:val="00381264"/>
    <w:rsid w:val="00381282"/>
    <w:rsid w:val="0038159E"/>
    <w:rsid w:val="00382232"/>
    <w:rsid w:val="003822A8"/>
    <w:rsid w:val="00382F1A"/>
    <w:rsid w:val="00383282"/>
    <w:rsid w:val="00383658"/>
    <w:rsid w:val="00383C97"/>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5BF"/>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DE5"/>
    <w:rsid w:val="003B2E9B"/>
    <w:rsid w:val="003B2F8D"/>
    <w:rsid w:val="003B3DA9"/>
    <w:rsid w:val="003B3EF3"/>
    <w:rsid w:val="003B3FC7"/>
    <w:rsid w:val="003B4E6C"/>
    <w:rsid w:val="003B4FAA"/>
    <w:rsid w:val="003B5125"/>
    <w:rsid w:val="003B547A"/>
    <w:rsid w:val="003B5620"/>
    <w:rsid w:val="003B6039"/>
    <w:rsid w:val="003B61C3"/>
    <w:rsid w:val="003B637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11C"/>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A3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08FA"/>
    <w:rsid w:val="004126D0"/>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2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02"/>
    <w:rsid w:val="00431FD5"/>
    <w:rsid w:val="00432110"/>
    <w:rsid w:val="00432125"/>
    <w:rsid w:val="00432FA7"/>
    <w:rsid w:val="00433E36"/>
    <w:rsid w:val="00433EBE"/>
    <w:rsid w:val="00434406"/>
    <w:rsid w:val="00434567"/>
    <w:rsid w:val="00434902"/>
    <w:rsid w:val="00435541"/>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5F1"/>
    <w:rsid w:val="0044474B"/>
    <w:rsid w:val="00444DC0"/>
    <w:rsid w:val="004452B6"/>
    <w:rsid w:val="00445500"/>
    <w:rsid w:val="004456EE"/>
    <w:rsid w:val="00445F09"/>
    <w:rsid w:val="00445FF7"/>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1676"/>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19"/>
    <w:rsid w:val="004940E4"/>
    <w:rsid w:val="004941A8"/>
    <w:rsid w:val="00494365"/>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2E"/>
    <w:rsid w:val="004D5B4B"/>
    <w:rsid w:val="004D6736"/>
    <w:rsid w:val="004D7223"/>
    <w:rsid w:val="004D7250"/>
    <w:rsid w:val="004D725F"/>
    <w:rsid w:val="004D7556"/>
    <w:rsid w:val="004D7DA8"/>
    <w:rsid w:val="004D7F20"/>
    <w:rsid w:val="004E0337"/>
    <w:rsid w:val="004E0600"/>
    <w:rsid w:val="004E112C"/>
    <w:rsid w:val="004E203C"/>
    <w:rsid w:val="004E212A"/>
    <w:rsid w:val="004E2892"/>
    <w:rsid w:val="004E2DEF"/>
    <w:rsid w:val="004E2E4C"/>
    <w:rsid w:val="004E3490"/>
    <w:rsid w:val="004E3611"/>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5B9A"/>
    <w:rsid w:val="004F6050"/>
    <w:rsid w:val="004F6278"/>
    <w:rsid w:val="004F661C"/>
    <w:rsid w:val="004F6D99"/>
    <w:rsid w:val="004F7070"/>
    <w:rsid w:val="004F71AE"/>
    <w:rsid w:val="004F7DB5"/>
    <w:rsid w:val="004F7FF6"/>
    <w:rsid w:val="005000E3"/>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1F4"/>
    <w:rsid w:val="00517261"/>
    <w:rsid w:val="0051791D"/>
    <w:rsid w:val="00520BE0"/>
    <w:rsid w:val="00520D6D"/>
    <w:rsid w:val="00521F4B"/>
    <w:rsid w:val="005221DC"/>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635"/>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528"/>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91"/>
    <w:rsid w:val="005C28C0"/>
    <w:rsid w:val="005C2ABA"/>
    <w:rsid w:val="005C3CC6"/>
    <w:rsid w:val="005C3E8A"/>
    <w:rsid w:val="005C41D4"/>
    <w:rsid w:val="005C4750"/>
    <w:rsid w:val="005C4B87"/>
    <w:rsid w:val="005C4E58"/>
    <w:rsid w:val="005C5158"/>
    <w:rsid w:val="005C580A"/>
    <w:rsid w:val="005C69E3"/>
    <w:rsid w:val="005D0079"/>
    <w:rsid w:val="005D059A"/>
    <w:rsid w:val="005D07C5"/>
    <w:rsid w:val="005D130E"/>
    <w:rsid w:val="005D1895"/>
    <w:rsid w:val="005D1FF8"/>
    <w:rsid w:val="005D2403"/>
    <w:rsid w:val="005D25F4"/>
    <w:rsid w:val="005D2CA0"/>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6E70"/>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030"/>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20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ABD"/>
    <w:rsid w:val="00665F7C"/>
    <w:rsid w:val="00665FEE"/>
    <w:rsid w:val="006662F4"/>
    <w:rsid w:val="0066692C"/>
    <w:rsid w:val="0066699A"/>
    <w:rsid w:val="00666CD2"/>
    <w:rsid w:val="00666DFC"/>
    <w:rsid w:val="00666EBB"/>
    <w:rsid w:val="00667280"/>
    <w:rsid w:val="00667385"/>
    <w:rsid w:val="0066779E"/>
    <w:rsid w:val="0067015D"/>
    <w:rsid w:val="0067104D"/>
    <w:rsid w:val="00671534"/>
    <w:rsid w:val="006717BA"/>
    <w:rsid w:val="0067269D"/>
    <w:rsid w:val="00672988"/>
    <w:rsid w:val="00672AD1"/>
    <w:rsid w:val="00672C64"/>
    <w:rsid w:val="00673BFF"/>
    <w:rsid w:val="0067499F"/>
    <w:rsid w:val="00674E6A"/>
    <w:rsid w:val="00674F48"/>
    <w:rsid w:val="006758E2"/>
    <w:rsid w:val="00675943"/>
    <w:rsid w:val="00675DAB"/>
    <w:rsid w:val="00675F57"/>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37D7"/>
    <w:rsid w:val="006946FD"/>
    <w:rsid w:val="00695B22"/>
    <w:rsid w:val="00696453"/>
    <w:rsid w:val="00696863"/>
    <w:rsid w:val="00696D63"/>
    <w:rsid w:val="00696FCC"/>
    <w:rsid w:val="00697082"/>
    <w:rsid w:val="00697117"/>
    <w:rsid w:val="006A032F"/>
    <w:rsid w:val="006A076B"/>
    <w:rsid w:val="006A0976"/>
    <w:rsid w:val="006A0B4F"/>
    <w:rsid w:val="006A1192"/>
    <w:rsid w:val="006A127E"/>
    <w:rsid w:val="006A21E3"/>
    <w:rsid w:val="006A235C"/>
    <w:rsid w:val="006A3769"/>
    <w:rsid w:val="006A41AE"/>
    <w:rsid w:val="006A46DC"/>
    <w:rsid w:val="006A4856"/>
    <w:rsid w:val="006A4C16"/>
    <w:rsid w:val="006A55A0"/>
    <w:rsid w:val="006A564B"/>
    <w:rsid w:val="006A58F9"/>
    <w:rsid w:val="006A5915"/>
    <w:rsid w:val="006A5A1B"/>
    <w:rsid w:val="006A661C"/>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9FB"/>
    <w:rsid w:val="006B7A6F"/>
    <w:rsid w:val="006C0085"/>
    <w:rsid w:val="006C0195"/>
    <w:rsid w:val="006C05B7"/>
    <w:rsid w:val="006C08C5"/>
    <w:rsid w:val="006C0E8A"/>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5FFA"/>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011"/>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3010E"/>
    <w:rsid w:val="00730D02"/>
    <w:rsid w:val="0073124A"/>
    <w:rsid w:val="007313AA"/>
    <w:rsid w:val="007313AC"/>
    <w:rsid w:val="007317FF"/>
    <w:rsid w:val="007318EB"/>
    <w:rsid w:val="00731A3F"/>
    <w:rsid w:val="00731B79"/>
    <w:rsid w:val="00731DB7"/>
    <w:rsid w:val="00733893"/>
    <w:rsid w:val="007340A5"/>
    <w:rsid w:val="00734348"/>
    <w:rsid w:val="00734A05"/>
    <w:rsid w:val="00735489"/>
    <w:rsid w:val="00735658"/>
    <w:rsid w:val="00735C6F"/>
    <w:rsid w:val="00735D4F"/>
    <w:rsid w:val="00735F4F"/>
    <w:rsid w:val="0073601B"/>
    <w:rsid w:val="007361D7"/>
    <w:rsid w:val="00736585"/>
    <w:rsid w:val="007366CF"/>
    <w:rsid w:val="007408D5"/>
    <w:rsid w:val="0074134B"/>
    <w:rsid w:val="0074195D"/>
    <w:rsid w:val="00741C59"/>
    <w:rsid w:val="00741F02"/>
    <w:rsid w:val="0074220E"/>
    <w:rsid w:val="00742422"/>
    <w:rsid w:val="00742A15"/>
    <w:rsid w:val="00742B44"/>
    <w:rsid w:val="00743976"/>
    <w:rsid w:val="00744157"/>
    <w:rsid w:val="00744441"/>
    <w:rsid w:val="00745399"/>
    <w:rsid w:val="00745540"/>
    <w:rsid w:val="0074655A"/>
    <w:rsid w:val="00746857"/>
    <w:rsid w:val="007469B7"/>
    <w:rsid w:val="00747849"/>
    <w:rsid w:val="00747C1C"/>
    <w:rsid w:val="00750A8C"/>
    <w:rsid w:val="00751792"/>
    <w:rsid w:val="00751CDE"/>
    <w:rsid w:val="00751DBE"/>
    <w:rsid w:val="0075210F"/>
    <w:rsid w:val="00753150"/>
    <w:rsid w:val="007538E9"/>
    <w:rsid w:val="00753BB5"/>
    <w:rsid w:val="00753E08"/>
    <w:rsid w:val="00754115"/>
    <w:rsid w:val="007544C0"/>
    <w:rsid w:val="007547B2"/>
    <w:rsid w:val="00754973"/>
    <w:rsid w:val="00754B37"/>
    <w:rsid w:val="00754E32"/>
    <w:rsid w:val="00755035"/>
    <w:rsid w:val="0075660B"/>
    <w:rsid w:val="00756832"/>
    <w:rsid w:val="00756F62"/>
    <w:rsid w:val="00757305"/>
    <w:rsid w:val="00757A51"/>
    <w:rsid w:val="0076034B"/>
    <w:rsid w:val="00760422"/>
    <w:rsid w:val="00760768"/>
    <w:rsid w:val="007612B4"/>
    <w:rsid w:val="00761533"/>
    <w:rsid w:val="007624B7"/>
    <w:rsid w:val="0076266E"/>
    <w:rsid w:val="007626B7"/>
    <w:rsid w:val="007626D0"/>
    <w:rsid w:val="00762D5D"/>
    <w:rsid w:val="00763CCE"/>
    <w:rsid w:val="007640E8"/>
    <w:rsid w:val="007643E6"/>
    <w:rsid w:val="007645E5"/>
    <w:rsid w:val="007651CA"/>
    <w:rsid w:val="007652AC"/>
    <w:rsid w:val="0076595C"/>
    <w:rsid w:val="00767519"/>
    <w:rsid w:val="0076757C"/>
    <w:rsid w:val="007679BB"/>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20F"/>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2E06"/>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8F"/>
    <w:rsid w:val="007A43ED"/>
    <w:rsid w:val="007A4853"/>
    <w:rsid w:val="007A4997"/>
    <w:rsid w:val="007A4BDD"/>
    <w:rsid w:val="007A4C98"/>
    <w:rsid w:val="007A500A"/>
    <w:rsid w:val="007A5766"/>
    <w:rsid w:val="007A6CAE"/>
    <w:rsid w:val="007A70D1"/>
    <w:rsid w:val="007A72EE"/>
    <w:rsid w:val="007A74C3"/>
    <w:rsid w:val="007A7D79"/>
    <w:rsid w:val="007B0352"/>
    <w:rsid w:val="007B0391"/>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381"/>
    <w:rsid w:val="007D1538"/>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934"/>
    <w:rsid w:val="007E5AC2"/>
    <w:rsid w:val="007E67C7"/>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498B"/>
    <w:rsid w:val="007F5CEB"/>
    <w:rsid w:val="007F62D2"/>
    <w:rsid w:val="007F716D"/>
    <w:rsid w:val="007F7EFF"/>
    <w:rsid w:val="00800229"/>
    <w:rsid w:val="008006C6"/>
    <w:rsid w:val="00800BFF"/>
    <w:rsid w:val="00800C52"/>
    <w:rsid w:val="00800DC4"/>
    <w:rsid w:val="00801132"/>
    <w:rsid w:val="0080153E"/>
    <w:rsid w:val="008016C0"/>
    <w:rsid w:val="0080213B"/>
    <w:rsid w:val="008021C3"/>
    <w:rsid w:val="00802852"/>
    <w:rsid w:val="00803E2C"/>
    <w:rsid w:val="00803EDE"/>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3E48"/>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8F9"/>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693"/>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0DA7"/>
    <w:rsid w:val="008D13DA"/>
    <w:rsid w:val="008D167D"/>
    <w:rsid w:val="008D1BB0"/>
    <w:rsid w:val="008D2298"/>
    <w:rsid w:val="008D261F"/>
    <w:rsid w:val="008D2B53"/>
    <w:rsid w:val="008D2FB3"/>
    <w:rsid w:val="008D3640"/>
    <w:rsid w:val="008D3B28"/>
    <w:rsid w:val="008D3B79"/>
    <w:rsid w:val="008D492A"/>
    <w:rsid w:val="008D49AA"/>
    <w:rsid w:val="008D4B58"/>
    <w:rsid w:val="008D4B8A"/>
    <w:rsid w:val="008D51BD"/>
    <w:rsid w:val="008D5935"/>
    <w:rsid w:val="008D6541"/>
    <w:rsid w:val="008D6E1A"/>
    <w:rsid w:val="008D700C"/>
    <w:rsid w:val="008D778E"/>
    <w:rsid w:val="008D7D7B"/>
    <w:rsid w:val="008E0717"/>
    <w:rsid w:val="008E0F52"/>
    <w:rsid w:val="008E11BE"/>
    <w:rsid w:val="008E183F"/>
    <w:rsid w:val="008E1BE0"/>
    <w:rsid w:val="008E1E65"/>
    <w:rsid w:val="008E2171"/>
    <w:rsid w:val="008E2316"/>
    <w:rsid w:val="008E26FF"/>
    <w:rsid w:val="008E34BE"/>
    <w:rsid w:val="008E37F9"/>
    <w:rsid w:val="008E42F4"/>
    <w:rsid w:val="008E48F7"/>
    <w:rsid w:val="008E5307"/>
    <w:rsid w:val="008E5535"/>
    <w:rsid w:val="008E5657"/>
    <w:rsid w:val="008E5D08"/>
    <w:rsid w:val="008E5E51"/>
    <w:rsid w:val="008E60F1"/>
    <w:rsid w:val="008E7004"/>
    <w:rsid w:val="008E721F"/>
    <w:rsid w:val="008E7D63"/>
    <w:rsid w:val="008E7DD2"/>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BF7"/>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79E"/>
    <w:rsid w:val="00905C47"/>
    <w:rsid w:val="00906379"/>
    <w:rsid w:val="0090638B"/>
    <w:rsid w:val="00906393"/>
    <w:rsid w:val="00906456"/>
    <w:rsid w:val="00906578"/>
    <w:rsid w:val="0090752E"/>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2D7"/>
    <w:rsid w:val="00917304"/>
    <w:rsid w:val="009173CD"/>
    <w:rsid w:val="009203DB"/>
    <w:rsid w:val="00920A72"/>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355"/>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369"/>
    <w:rsid w:val="0094262D"/>
    <w:rsid w:val="009430F9"/>
    <w:rsid w:val="009432C3"/>
    <w:rsid w:val="009435BA"/>
    <w:rsid w:val="00943C6E"/>
    <w:rsid w:val="00943C9B"/>
    <w:rsid w:val="0094409C"/>
    <w:rsid w:val="00944159"/>
    <w:rsid w:val="009444D9"/>
    <w:rsid w:val="00944714"/>
    <w:rsid w:val="009449B2"/>
    <w:rsid w:val="00944A82"/>
    <w:rsid w:val="00945C5F"/>
    <w:rsid w:val="0094601F"/>
    <w:rsid w:val="00946399"/>
    <w:rsid w:val="00946C4D"/>
    <w:rsid w:val="0094756B"/>
    <w:rsid w:val="00950387"/>
    <w:rsid w:val="009504B9"/>
    <w:rsid w:val="009520B3"/>
    <w:rsid w:val="0095285B"/>
    <w:rsid w:val="00953099"/>
    <w:rsid w:val="00953180"/>
    <w:rsid w:val="00953A52"/>
    <w:rsid w:val="00953B1B"/>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60"/>
    <w:rsid w:val="00965F95"/>
    <w:rsid w:val="0096647B"/>
    <w:rsid w:val="00966B46"/>
    <w:rsid w:val="0096726D"/>
    <w:rsid w:val="00967354"/>
    <w:rsid w:val="00967C51"/>
    <w:rsid w:val="00971033"/>
    <w:rsid w:val="00971592"/>
    <w:rsid w:val="00971DDF"/>
    <w:rsid w:val="00971FDE"/>
    <w:rsid w:val="00972229"/>
    <w:rsid w:val="0097284E"/>
    <w:rsid w:val="009731D6"/>
    <w:rsid w:val="00973E89"/>
    <w:rsid w:val="0097458D"/>
    <w:rsid w:val="009745AD"/>
    <w:rsid w:val="009745F2"/>
    <w:rsid w:val="00974746"/>
    <w:rsid w:val="00974C40"/>
    <w:rsid w:val="00975119"/>
    <w:rsid w:val="00975917"/>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3B1"/>
    <w:rsid w:val="009834A6"/>
    <w:rsid w:val="00983A9E"/>
    <w:rsid w:val="00983D46"/>
    <w:rsid w:val="00983DCA"/>
    <w:rsid w:val="0098433B"/>
    <w:rsid w:val="00984981"/>
    <w:rsid w:val="00985DE0"/>
    <w:rsid w:val="00985EF7"/>
    <w:rsid w:val="0098622F"/>
    <w:rsid w:val="00986396"/>
    <w:rsid w:val="009864F8"/>
    <w:rsid w:val="009865EE"/>
    <w:rsid w:val="00986705"/>
    <w:rsid w:val="009869EA"/>
    <w:rsid w:val="00986B06"/>
    <w:rsid w:val="00986CF9"/>
    <w:rsid w:val="00987416"/>
    <w:rsid w:val="00987C3F"/>
    <w:rsid w:val="009906EA"/>
    <w:rsid w:val="009907E2"/>
    <w:rsid w:val="00990C0E"/>
    <w:rsid w:val="00990CBB"/>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431"/>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F8C"/>
    <w:rsid w:val="009B1E47"/>
    <w:rsid w:val="009B1F91"/>
    <w:rsid w:val="009B2267"/>
    <w:rsid w:val="009B288F"/>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396"/>
    <w:rsid w:val="009E5988"/>
    <w:rsid w:val="009E5A84"/>
    <w:rsid w:val="009E5AF5"/>
    <w:rsid w:val="009E5B3E"/>
    <w:rsid w:val="009E5EB5"/>
    <w:rsid w:val="009E623F"/>
    <w:rsid w:val="009E6BD8"/>
    <w:rsid w:val="009E74F0"/>
    <w:rsid w:val="009F0768"/>
    <w:rsid w:val="009F08DB"/>
    <w:rsid w:val="009F0AEF"/>
    <w:rsid w:val="009F0FA8"/>
    <w:rsid w:val="009F12F3"/>
    <w:rsid w:val="009F17D8"/>
    <w:rsid w:val="009F2578"/>
    <w:rsid w:val="009F2A71"/>
    <w:rsid w:val="009F397D"/>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72"/>
    <w:rsid w:val="00A2459D"/>
    <w:rsid w:val="00A2492E"/>
    <w:rsid w:val="00A24C26"/>
    <w:rsid w:val="00A24E23"/>
    <w:rsid w:val="00A24F3B"/>
    <w:rsid w:val="00A25F05"/>
    <w:rsid w:val="00A26B26"/>
    <w:rsid w:val="00A272F3"/>
    <w:rsid w:val="00A27685"/>
    <w:rsid w:val="00A311AE"/>
    <w:rsid w:val="00A312A6"/>
    <w:rsid w:val="00A3130E"/>
    <w:rsid w:val="00A324CF"/>
    <w:rsid w:val="00A327E2"/>
    <w:rsid w:val="00A32872"/>
    <w:rsid w:val="00A32E8B"/>
    <w:rsid w:val="00A32ED6"/>
    <w:rsid w:val="00A33102"/>
    <w:rsid w:val="00A33E9C"/>
    <w:rsid w:val="00A33F08"/>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BED"/>
    <w:rsid w:val="00A42D07"/>
    <w:rsid w:val="00A435FA"/>
    <w:rsid w:val="00A43D85"/>
    <w:rsid w:val="00A44788"/>
    <w:rsid w:val="00A450C0"/>
    <w:rsid w:val="00A45468"/>
    <w:rsid w:val="00A45529"/>
    <w:rsid w:val="00A455F8"/>
    <w:rsid w:val="00A459BA"/>
    <w:rsid w:val="00A46859"/>
    <w:rsid w:val="00A46E05"/>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3B3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D4C"/>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AF7EBF"/>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280E"/>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37CF0"/>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3DE"/>
    <w:rsid w:val="00B63437"/>
    <w:rsid w:val="00B6352A"/>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798"/>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22"/>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4F2B"/>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594"/>
    <w:rsid w:val="00BA3D7B"/>
    <w:rsid w:val="00BA48FC"/>
    <w:rsid w:val="00BA5CC2"/>
    <w:rsid w:val="00BA6548"/>
    <w:rsid w:val="00BA6A8D"/>
    <w:rsid w:val="00BA76A9"/>
    <w:rsid w:val="00BA79A3"/>
    <w:rsid w:val="00BA7A53"/>
    <w:rsid w:val="00BA7D97"/>
    <w:rsid w:val="00BB02AB"/>
    <w:rsid w:val="00BB13D1"/>
    <w:rsid w:val="00BB1FDA"/>
    <w:rsid w:val="00BB22A6"/>
    <w:rsid w:val="00BB3C13"/>
    <w:rsid w:val="00BB3E2B"/>
    <w:rsid w:val="00BB4A65"/>
    <w:rsid w:val="00BB4C3C"/>
    <w:rsid w:val="00BB5043"/>
    <w:rsid w:val="00BB538C"/>
    <w:rsid w:val="00BB56E8"/>
    <w:rsid w:val="00BB5D1C"/>
    <w:rsid w:val="00BB6552"/>
    <w:rsid w:val="00BB65B2"/>
    <w:rsid w:val="00BB6B9B"/>
    <w:rsid w:val="00BB754F"/>
    <w:rsid w:val="00BB7795"/>
    <w:rsid w:val="00BB7DDF"/>
    <w:rsid w:val="00BC042E"/>
    <w:rsid w:val="00BC07D4"/>
    <w:rsid w:val="00BC0A5D"/>
    <w:rsid w:val="00BC0BE3"/>
    <w:rsid w:val="00BC0CD1"/>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3F2F"/>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1A7D"/>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9DD"/>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6AD6"/>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368"/>
    <w:rsid w:val="00C248A9"/>
    <w:rsid w:val="00C24CB7"/>
    <w:rsid w:val="00C24FF5"/>
    <w:rsid w:val="00C25019"/>
    <w:rsid w:val="00C2534D"/>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E30"/>
    <w:rsid w:val="00C34145"/>
    <w:rsid w:val="00C348D6"/>
    <w:rsid w:val="00C34F56"/>
    <w:rsid w:val="00C35389"/>
    <w:rsid w:val="00C35F1B"/>
    <w:rsid w:val="00C365E7"/>
    <w:rsid w:val="00C36A83"/>
    <w:rsid w:val="00C36E34"/>
    <w:rsid w:val="00C404EE"/>
    <w:rsid w:val="00C407E9"/>
    <w:rsid w:val="00C40D2D"/>
    <w:rsid w:val="00C40FC3"/>
    <w:rsid w:val="00C413DB"/>
    <w:rsid w:val="00C4171B"/>
    <w:rsid w:val="00C424FC"/>
    <w:rsid w:val="00C42689"/>
    <w:rsid w:val="00C42988"/>
    <w:rsid w:val="00C42BD4"/>
    <w:rsid w:val="00C42E9F"/>
    <w:rsid w:val="00C430C1"/>
    <w:rsid w:val="00C433B2"/>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6E3"/>
    <w:rsid w:val="00C727DF"/>
    <w:rsid w:val="00C72E18"/>
    <w:rsid w:val="00C731AD"/>
    <w:rsid w:val="00C73553"/>
    <w:rsid w:val="00C73677"/>
    <w:rsid w:val="00C7380B"/>
    <w:rsid w:val="00C73E0C"/>
    <w:rsid w:val="00C74421"/>
    <w:rsid w:val="00C74F32"/>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7F1"/>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0E09"/>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53A"/>
    <w:rsid w:val="00C958A9"/>
    <w:rsid w:val="00C96860"/>
    <w:rsid w:val="00C96F79"/>
    <w:rsid w:val="00C97146"/>
    <w:rsid w:val="00C971D9"/>
    <w:rsid w:val="00C972FC"/>
    <w:rsid w:val="00C97CF9"/>
    <w:rsid w:val="00C97D5C"/>
    <w:rsid w:val="00C97F56"/>
    <w:rsid w:val="00CA0642"/>
    <w:rsid w:val="00CA09A5"/>
    <w:rsid w:val="00CA0E54"/>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2F9"/>
    <w:rsid w:val="00CD139E"/>
    <w:rsid w:val="00CD1922"/>
    <w:rsid w:val="00CD1FD3"/>
    <w:rsid w:val="00CD28C3"/>
    <w:rsid w:val="00CD28F0"/>
    <w:rsid w:val="00CD30D7"/>
    <w:rsid w:val="00CD34FD"/>
    <w:rsid w:val="00CD38B2"/>
    <w:rsid w:val="00CD3ED8"/>
    <w:rsid w:val="00CD42B8"/>
    <w:rsid w:val="00CD55C3"/>
    <w:rsid w:val="00CD5696"/>
    <w:rsid w:val="00CD736C"/>
    <w:rsid w:val="00CD761D"/>
    <w:rsid w:val="00CD76B5"/>
    <w:rsid w:val="00CE0090"/>
    <w:rsid w:val="00CE0D37"/>
    <w:rsid w:val="00CE139C"/>
    <w:rsid w:val="00CE204A"/>
    <w:rsid w:val="00CE2346"/>
    <w:rsid w:val="00CE2B02"/>
    <w:rsid w:val="00CE2E7A"/>
    <w:rsid w:val="00CE3B4E"/>
    <w:rsid w:val="00CE3DF3"/>
    <w:rsid w:val="00CE3F85"/>
    <w:rsid w:val="00CE439B"/>
    <w:rsid w:val="00CE4F2D"/>
    <w:rsid w:val="00CE5D76"/>
    <w:rsid w:val="00CE5F92"/>
    <w:rsid w:val="00CE6A8A"/>
    <w:rsid w:val="00CE6C09"/>
    <w:rsid w:val="00CE6C58"/>
    <w:rsid w:val="00CE6F0F"/>
    <w:rsid w:val="00CE6F23"/>
    <w:rsid w:val="00CE7C7C"/>
    <w:rsid w:val="00CF002F"/>
    <w:rsid w:val="00CF0246"/>
    <w:rsid w:val="00CF0813"/>
    <w:rsid w:val="00CF0C02"/>
    <w:rsid w:val="00CF1768"/>
    <w:rsid w:val="00CF1899"/>
    <w:rsid w:val="00CF1C46"/>
    <w:rsid w:val="00CF230B"/>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4E6C"/>
    <w:rsid w:val="00D04F91"/>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65"/>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6E1"/>
    <w:rsid w:val="00D44922"/>
    <w:rsid w:val="00D44932"/>
    <w:rsid w:val="00D44EE4"/>
    <w:rsid w:val="00D453BF"/>
    <w:rsid w:val="00D46111"/>
    <w:rsid w:val="00D46E13"/>
    <w:rsid w:val="00D46FAC"/>
    <w:rsid w:val="00D4723F"/>
    <w:rsid w:val="00D47953"/>
    <w:rsid w:val="00D47C16"/>
    <w:rsid w:val="00D502AF"/>
    <w:rsid w:val="00D50500"/>
    <w:rsid w:val="00D50709"/>
    <w:rsid w:val="00D50764"/>
    <w:rsid w:val="00D50A15"/>
    <w:rsid w:val="00D50C12"/>
    <w:rsid w:val="00D51552"/>
    <w:rsid w:val="00D518FF"/>
    <w:rsid w:val="00D51A77"/>
    <w:rsid w:val="00D52212"/>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654"/>
    <w:rsid w:val="00D55762"/>
    <w:rsid w:val="00D557C4"/>
    <w:rsid w:val="00D55889"/>
    <w:rsid w:val="00D55F61"/>
    <w:rsid w:val="00D5648C"/>
    <w:rsid w:val="00D56B5F"/>
    <w:rsid w:val="00D56B74"/>
    <w:rsid w:val="00D57A3F"/>
    <w:rsid w:val="00D57AF0"/>
    <w:rsid w:val="00D57B67"/>
    <w:rsid w:val="00D57CE6"/>
    <w:rsid w:val="00D57DCF"/>
    <w:rsid w:val="00D60022"/>
    <w:rsid w:val="00D6009B"/>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297"/>
    <w:rsid w:val="00D736A2"/>
    <w:rsid w:val="00D73C57"/>
    <w:rsid w:val="00D73F78"/>
    <w:rsid w:val="00D742FF"/>
    <w:rsid w:val="00D74E81"/>
    <w:rsid w:val="00D754C4"/>
    <w:rsid w:val="00D758B3"/>
    <w:rsid w:val="00D76354"/>
    <w:rsid w:val="00D76ADC"/>
    <w:rsid w:val="00D76BAC"/>
    <w:rsid w:val="00D76CE1"/>
    <w:rsid w:val="00D76F83"/>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0D73"/>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26"/>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E9D"/>
    <w:rsid w:val="00DA7FF0"/>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1681"/>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5B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B87"/>
    <w:rsid w:val="00DF23CA"/>
    <w:rsid w:val="00DF2929"/>
    <w:rsid w:val="00DF2D99"/>
    <w:rsid w:val="00DF2ED3"/>
    <w:rsid w:val="00DF2F5F"/>
    <w:rsid w:val="00DF3159"/>
    <w:rsid w:val="00DF3B76"/>
    <w:rsid w:val="00DF4359"/>
    <w:rsid w:val="00DF4D53"/>
    <w:rsid w:val="00DF4FA9"/>
    <w:rsid w:val="00DF573B"/>
    <w:rsid w:val="00DF6286"/>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44BC"/>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253"/>
    <w:rsid w:val="00E134F4"/>
    <w:rsid w:val="00E137AB"/>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4ED"/>
    <w:rsid w:val="00E27791"/>
    <w:rsid w:val="00E30A9E"/>
    <w:rsid w:val="00E30BEA"/>
    <w:rsid w:val="00E30F2D"/>
    <w:rsid w:val="00E31043"/>
    <w:rsid w:val="00E313D4"/>
    <w:rsid w:val="00E31987"/>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30C7"/>
    <w:rsid w:val="00E43F64"/>
    <w:rsid w:val="00E44293"/>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1AD"/>
    <w:rsid w:val="00E63230"/>
    <w:rsid w:val="00E633A7"/>
    <w:rsid w:val="00E635B9"/>
    <w:rsid w:val="00E635EF"/>
    <w:rsid w:val="00E64263"/>
    <w:rsid w:val="00E65D15"/>
    <w:rsid w:val="00E66264"/>
    <w:rsid w:val="00E665F3"/>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36FF"/>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97D38"/>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3BB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367"/>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2FEB"/>
    <w:rsid w:val="00EE3663"/>
    <w:rsid w:val="00EE41C4"/>
    <w:rsid w:val="00EE43EB"/>
    <w:rsid w:val="00EE4A40"/>
    <w:rsid w:val="00EE641F"/>
    <w:rsid w:val="00EE76A9"/>
    <w:rsid w:val="00EE7831"/>
    <w:rsid w:val="00EE799E"/>
    <w:rsid w:val="00EE7C7E"/>
    <w:rsid w:val="00EE7CA8"/>
    <w:rsid w:val="00EE7FA7"/>
    <w:rsid w:val="00EF0259"/>
    <w:rsid w:val="00EF093A"/>
    <w:rsid w:val="00EF1093"/>
    <w:rsid w:val="00EF13DC"/>
    <w:rsid w:val="00EF1645"/>
    <w:rsid w:val="00EF1843"/>
    <w:rsid w:val="00EF1B24"/>
    <w:rsid w:val="00EF1FCB"/>
    <w:rsid w:val="00EF21C3"/>
    <w:rsid w:val="00EF222B"/>
    <w:rsid w:val="00EF2E6B"/>
    <w:rsid w:val="00EF3C69"/>
    <w:rsid w:val="00EF3DFE"/>
    <w:rsid w:val="00EF461D"/>
    <w:rsid w:val="00EF48EC"/>
    <w:rsid w:val="00EF555A"/>
    <w:rsid w:val="00EF58AE"/>
    <w:rsid w:val="00EF5BA1"/>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375"/>
    <w:rsid w:val="00F20478"/>
    <w:rsid w:val="00F2052B"/>
    <w:rsid w:val="00F20905"/>
    <w:rsid w:val="00F20A1C"/>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358"/>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D0D"/>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4FB5"/>
    <w:rsid w:val="00F55760"/>
    <w:rsid w:val="00F5588F"/>
    <w:rsid w:val="00F55A3B"/>
    <w:rsid w:val="00F5606A"/>
    <w:rsid w:val="00F560FE"/>
    <w:rsid w:val="00F56D10"/>
    <w:rsid w:val="00F570AA"/>
    <w:rsid w:val="00F5730F"/>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0A8"/>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C82"/>
    <w:rsid w:val="00F90F07"/>
    <w:rsid w:val="00F9101E"/>
    <w:rsid w:val="00F91139"/>
    <w:rsid w:val="00F913DC"/>
    <w:rsid w:val="00F914B2"/>
    <w:rsid w:val="00F917FE"/>
    <w:rsid w:val="00F91DDA"/>
    <w:rsid w:val="00F936FE"/>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0"/>
    <w:rsid w:val="00FB350A"/>
    <w:rsid w:val="00FB4A7A"/>
    <w:rsid w:val="00FB4B8A"/>
    <w:rsid w:val="00FB5152"/>
    <w:rsid w:val="00FB59E5"/>
    <w:rsid w:val="00FB59FD"/>
    <w:rsid w:val="00FB680E"/>
    <w:rsid w:val="00FB75AA"/>
    <w:rsid w:val="00FB7723"/>
    <w:rsid w:val="00FB79DA"/>
    <w:rsid w:val="00FB7C3B"/>
    <w:rsid w:val="00FC0065"/>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3CB"/>
    <w:rsid w:val="00FE04B0"/>
    <w:rsid w:val="00FE1142"/>
    <w:rsid w:val="00FE13C0"/>
    <w:rsid w:val="00FE2398"/>
    <w:rsid w:val="00FE24D3"/>
    <w:rsid w:val="00FE2CBB"/>
    <w:rsid w:val="00FE2E4B"/>
    <w:rsid w:val="00FE2F15"/>
    <w:rsid w:val="00FE3420"/>
    <w:rsid w:val="00FE491B"/>
    <w:rsid w:val="00FE4990"/>
    <w:rsid w:val="00FE4C15"/>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420238">
      <w:bodyDiv w:val="1"/>
      <w:marLeft w:val="0"/>
      <w:marRight w:val="0"/>
      <w:marTop w:val="0"/>
      <w:marBottom w:val="0"/>
      <w:divBdr>
        <w:top w:val="none" w:sz="0" w:space="0" w:color="auto"/>
        <w:left w:val="none" w:sz="0" w:space="0" w:color="auto"/>
        <w:bottom w:val="none" w:sz="0" w:space="0" w:color="auto"/>
        <w:right w:val="none" w:sz="0" w:space="0" w:color="auto"/>
      </w:divBdr>
      <w:divsChild>
        <w:div w:id="778719496">
          <w:marLeft w:val="547"/>
          <w:marRight w:val="0"/>
          <w:marTop w:val="0"/>
          <w:marBottom w:val="0"/>
          <w:divBdr>
            <w:top w:val="none" w:sz="0" w:space="0" w:color="auto"/>
            <w:left w:val="none" w:sz="0" w:space="0" w:color="auto"/>
            <w:bottom w:val="none" w:sz="0" w:space="0" w:color="auto"/>
            <w:right w:val="none" w:sz="0" w:space="0" w:color="auto"/>
          </w:divBdr>
        </w:div>
        <w:div w:id="429543889">
          <w:marLeft w:val="547"/>
          <w:marRight w:val="0"/>
          <w:marTop w:val="0"/>
          <w:marBottom w:val="0"/>
          <w:divBdr>
            <w:top w:val="none" w:sz="0" w:space="0" w:color="auto"/>
            <w:left w:val="none" w:sz="0" w:space="0" w:color="auto"/>
            <w:bottom w:val="none" w:sz="0" w:space="0" w:color="auto"/>
            <w:right w:val="none" w:sz="0" w:space="0" w:color="auto"/>
          </w:divBdr>
        </w:div>
        <w:div w:id="1340888064">
          <w:marLeft w:val="547"/>
          <w:marRight w:val="0"/>
          <w:marTop w:val="0"/>
          <w:marBottom w:val="0"/>
          <w:divBdr>
            <w:top w:val="none" w:sz="0" w:space="0" w:color="auto"/>
            <w:left w:val="none" w:sz="0" w:space="0" w:color="auto"/>
            <w:bottom w:val="none" w:sz="0" w:space="0" w:color="auto"/>
            <w:right w:val="none" w:sz="0" w:space="0" w:color="auto"/>
          </w:divBdr>
        </w:div>
        <w:div w:id="1063217146">
          <w:marLeft w:val="547"/>
          <w:marRight w:val="0"/>
          <w:marTop w:val="0"/>
          <w:marBottom w:val="0"/>
          <w:divBdr>
            <w:top w:val="none" w:sz="0" w:space="0" w:color="auto"/>
            <w:left w:val="none" w:sz="0" w:space="0" w:color="auto"/>
            <w:bottom w:val="none" w:sz="0" w:space="0" w:color="auto"/>
            <w:right w:val="none" w:sz="0" w:space="0" w:color="auto"/>
          </w:divBdr>
        </w:div>
        <w:div w:id="1903364251">
          <w:marLeft w:val="547"/>
          <w:marRight w:val="0"/>
          <w:marTop w:val="0"/>
          <w:marBottom w:val="0"/>
          <w:divBdr>
            <w:top w:val="none" w:sz="0" w:space="0" w:color="auto"/>
            <w:left w:val="none" w:sz="0" w:space="0" w:color="auto"/>
            <w:bottom w:val="none" w:sz="0" w:space="0" w:color="auto"/>
            <w:right w:val="none" w:sz="0" w:space="0" w:color="auto"/>
          </w:divBdr>
        </w:div>
      </w:divsChild>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3897999">
      <w:bodyDiv w:val="1"/>
      <w:marLeft w:val="0"/>
      <w:marRight w:val="0"/>
      <w:marTop w:val="0"/>
      <w:marBottom w:val="0"/>
      <w:divBdr>
        <w:top w:val="none" w:sz="0" w:space="0" w:color="auto"/>
        <w:left w:val="none" w:sz="0" w:space="0" w:color="auto"/>
        <w:bottom w:val="none" w:sz="0" w:space="0" w:color="auto"/>
        <w:right w:val="none" w:sz="0" w:space="0" w:color="auto"/>
      </w:divBdr>
      <w:divsChild>
        <w:div w:id="300698174">
          <w:marLeft w:val="547"/>
          <w:marRight w:val="0"/>
          <w:marTop w:val="0"/>
          <w:marBottom w:val="0"/>
          <w:divBdr>
            <w:top w:val="none" w:sz="0" w:space="0" w:color="auto"/>
            <w:left w:val="none" w:sz="0" w:space="0" w:color="auto"/>
            <w:bottom w:val="none" w:sz="0" w:space="0" w:color="auto"/>
            <w:right w:val="none" w:sz="0" w:space="0" w:color="auto"/>
          </w:divBdr>
        </w:div>
        <w:div w:id="1674144579">
          <w:marLeft w:val="547"/>
          <w:marRight w:val="0"/>
          <w:marTop w:val="0"/>
          <w:marBottom w:val="0"/>
          <w:divBdr>
            <w:top w:val="none" w:sz="0" w:space="0" w:color="auto"/>
            <w:left w:val="none" w:sz="0" w:space="0" w:color="auto"/>
            <w:bottom w:val="none" w:sz="0" w:space="0" w:color="auto"/>
            <w:right w:val="none" w:sz="0" w:space="0" w:color="auto"/>
          </w:divBdr>
        </w:div>
        <w:div w:id="1701512835">
          <w:marLeft w:val="547"/>
          <w:marRight w:val="0"/>
          <w:marTop w:val="0"/>
          <w:marBottom w:val="0"/>
          <w:divBdr>
            <w:top w:val="none" w:sz="0" w:space="0" w:color="auto"/>
            <w:left w:val="none" w:sz="0" w:space="0" w:color="auto"/>
            <w:bottom w:val="none" w:sz="0" w:space="0" w:color="auto"/>
            <w:right w:val="none" w:sz="0" w:space="0" w:color="auto"/>
          </w:divBdr>
        </w:div>
        <w:div w:id="974218182">
          <w:marLeft w:val="547"/>
          <w:marRight w:val="0"/>
          <w:marTop w:val="0"/>
          <w:marBottom w:val="0"/>
          <w:divBdr>
            <w:top w:val="none" w:sz="0" w:space="0" w:color="auto"/>
            <w:left w:val="none" w:sz="0" w:space="0" w:color="auto"/>
            <w:bottom w:val="none" w:sz="0" w:space="0" w:color="auto"/>
            <w:right w:val="none" w:sz="0" w:space="0" w:color="auto"/>
          </w:divBdr>
        </w:div>
      </w:divsChild>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1166030">
      <w:bodyDiv w:val="1"/>
      <w:marLeft w:val="0"/>
      <w:marRight w:val="0"/>
      <w:marTop w:val="0"/>
      <w:marBottom w:val="0"/>
      <w:divBdr>
        <w:top w:val="none" w:sz="0" w:space="0" w:color="auto"/>
        <w:left w:val="none" w:sz="0" w:space="0" w:color="auto"/>
        <w:bottom w:val="none" w:sz="0" w:space="0" w:color="auto"/>
        <w:right w:val="none" w:sz="0" w:space="0" w:color="auto"/>
      </w:divBdr>
      <w:divsChild>
        <w:div w:id="1061714689">
          <w:marLeft w:val="547"/>
          <w:marRight w:val="0"/>
          <w:marTop w:val="0"/>
          <w:marBottom w:val="0"/>
          <w:divBdr>
            <w:top w:val="none" w:sz="0" w:space="0" w:color="auto"/>
            <w:left w:val="none" w:sz="0" w:space="0" w:color="auto"/>
            <w:bottom w:val="none" w:sz="0" w:space="0" w:color="auto"/>
            <w:right w:val="none" w:sz="0" w:space="0" w:color="auto"/>
          </w:divBdr>
        </w:div>
        <w:div w:id="1464425004">
          <w:marLeft w:val="1166"/>
          <w:marRight w:val="0"/>
          <w:marTop w:val="0"/>
          <w:marBottom w:val="0"/>
          <w:divBdr>
            <w:top w:val="none" w:sz="0" w:space="0" w:color="auto"/>
            <w:left w:val="none" w:sz="0" w:space="0" w:color="auto"/>
            <w:bottom w:val="none" w:sz="0" w:space="0" w:color="auto"/>
            <w:right w:val="none" w:sz="0" w:space="0" w:color="auto"/>
          </w:divBdr>
        </w:div>
        <w:div w:id="1030454093">
          <w:marLeft w:val="1166"/>
          <w:marRight w:val="0"/>
          <w:marTop w:val="0"/>
          <w:marBottom w:val="0"/>
          <w:divBdr>
            <w:top w:val="none" w:sz="0" w:space="0" w:color="auto"/>
            <w:left w:val="none" w:sz="0" w:space="0" w:color="auto"/>
            <w:bottom w:val="none" w:sz="0" w:space="0" w:color="auto"/>
            <w:right w:val="none" w:sz="0" w:space="0" w:color="auto"/>
          </w:divBdr>
        </w:div>
        <w:div w:id="140314283">
          <w:marLeft w:val="1166"/>
          <w:marRight w:val="0"/>
          <w:marTop w:val="0"/>
          <w:marBottom w:val="0"/>
          <w:divBdr>
            <w:top w:val="none" w:sz="0" w:space="0" w:color="auto"/>
            <w:left w:val="none" w:sz="0" w:space="0" w:color="auto"/>
            <w:bottom w:val="none" w:sz="0" w:space="0" w:color="auto"/>
            <w:right w:val="none" w:sz="0" w:space="0" w:color="auto"/>
          </w:divBdr>
        </w:div>
        <w:div w:id="304548803">
          <w:marLeft w:val="1166"/>
          <w:marRight w:val="0"/>
          <w:marTop w:val="0"/>
          <w:marBottom w:val="0"/>
          <w:divBdr>
            <w:top w:val="none" w:sz="0" w:space="0" w:color="auto"/>
            <w:left w:val="none" w:sz="0" w:space="0" w:color="auto"/>
            <w:bottom w:val="none" w:sz="0" w:space="0" w:color="auto"/>
            <w:right w:val="none" w:sz="0" w:space="0" w:color="auto"/>
          </w:divBdr>
        </w:div>
        <w:div w:id="80103412">
          <w:marLeft w:val="547"/>
          <w:marRight w:val="0"/>
          <w:marTop w:val="0"/>
          <w:marBottom w:val="0"/>
          <w:divBdr>
            <w:top w:val="none" w:sz="0" w:space="0" w:color="auto"/>
            <w:left w:val="none" w:sz="0" w:space="0" w:color="auto"/>
            <w:bottom w:val="none" w:sz="0" w:space="0" w:color="auto"/>
            <w:right w:val="none" w:sz="0" w:space="0" w:color="auto"/>
          </w:divBdr>
        </w:div>
        <w:div w:id="257568624">
          <w:marLeft w:val="1166"/>
          <w:marRight w:val="0"/>
          <w:marTop w:val="0"/>
          <w:marBottom w:val="0"/>
          <w:divBdr>
            <w:top w:val="none" w:sz="0" w:space="0" w:color="auto"/>
            <w:left w:val="none" w:sz="0" w:space="0" w:color="auto"/>
            <w:bottom w:val="none" w:sz="0" w:space="0" w:color="auto"/>
            <w:right w:val="none" w:sz="0" w:space="0" w:color="auto"/>
          </w:divBdr>
        </w:div>
        <w:div w:id="1410035582">
          <w:marLeft w:val="1166"/>
          <w:marRight w:val="0"/>
          <w:marTop w:val="0"/>
          <w:marBottom w:val="0"/>
          <w:divBdr>
            <w:top w:val="none" w:sz="0" w:space="0" w:color="auto"/>
            <w:left w:val="none" w:sz="0" w:space="0" w:color="auto"/>
            <w:bottom w:val="none" w:sz="0" w:space="0" w:color="auto"/>
            <w:right w:val="none" w:sz="0" w:space="0" w:color="auto"/>
          </w:divBdr>
        </w:div>
        <w:div w:id="726877315">
          <w:marLeft w:val="1166"/>
          <w:marRight w:val="0"/>
          <w:marTop w:val="0"/>
          <w:marBottom w:val="0"/>
          <w:divBdr>
            <w:top w:val="none" w:sz="0" w:space="0" w:color="auto"/>
            <w:left w:val="none" w:sz="0" w:space="0" w:color="auto"/>
            <w:bottom w:val="none" w:sz="0" w:space="0" w:color="auto"/>
            <w:right w:val="none" w:sz="0" w:space="0" w:color="auto"/>
          </w:divBdr>
        </w:div>
        <w:div w:id="1179153802">
          <w:marLeft w:val="1166"/>
          <w:marRight w:val="0"/>
          <w:marTop w:val="0"/>
          <w:marBottom w:val="0"/>
          <w:divBdr>
            <w:top w:val="none" w:sz="0" w:space="0" w:color="auto"/>
            <w:left w:val="none" w:sz="0" w:space="0" w:color="auto"/>
            <w:bottom w:val="none" w:sz="0" w:space="0" w:color="auto"/>
            <w:right w:val="none" w:sz="0" w:space="0" w:color="auto"/>
          </w:divBdr>
        </w:div>
        <w:div w:id="757480127">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3308443">
      <w:bodyDiv w:val="1"/>
      <w:marLeft w:val="0"/>
      <w:marRight w:val="0"/>
      <w:marTop w:val="0"/>
      <w:marBottom w:val="0"/>
      <w:divBdr>
        <w:top w:val="none" w:sz="0" w:space="0" w:color="auto"/>
        <w:left w:val="none" w:sz="0" w:space="0" w:color="auto"/>
        <w:bottom w:val="none" w:sz="0" w:space="0" w:color="auto"/>
        <w:right w:val="none" w:sz="0" w:space="0" w:color="auto"/>
      </w:divBdr>
      <w:divsChild>
        <w:div w:id="1497260698">
          <w:marLeft w:val="547"/>
          <w:marRight w:val="0"/>
          <w:marTop w:val="0"/>
          <w:marBottom w:val="0"/>
          <w:divBdr>
            <w:top w:val="none" w:sz="0" w:space="0" w:color="auto"/>
            <w:left w:val="none" w:sz="0" w:space="0" w:color="auto"/>
            <w:bottom w:val="none" w:sz="0" w:space="0" w:color="auto"/>
            <w:right w:val="none" w:sz="0" w:space="0" w:color="auto"/>
          </w:divBdr>
        </w:div>
        <w:div w:id="1724598912">
          <w:marLeft w:val="547"/>
          <w:marRight w:val="0"/>
          <w:marTop w:val="0"/>
          <w:marBottom w:val="0"/>
          <w:divBdr>
            <w:top w:val="none" w:sz="0" w:space="0" w:color="auto"/>
            <w:left w:val="none" w:sz="0" w:space="0" w:color="auto"/>
            <w:bottom w:val="none" w:sz="0" w:space="0" w:color="auto"/>
            <w:right w:val="none" w:sz="0" w:space="0" w:color="auto"/>
          </w:divBdr>
        </w:div>
        <w:div w:id="1584492220">
          <w:marLeft w:val="547"/>
          <w:marRight w:val="0"/>
          <w:marTop w:val="0"/>
          <w:marBottom w:val="0"/>
          <w:divBdr>
            <w:top w:val="none" w:sz="0" w:space="0" w:color="auto"/>
            <w:left w:val="none" w:sz="0" w:space="0" w:color="auto"/>
            <w:bottom w:val="none" w:sz="0" w:space="0" w:color="auto"/>
            <w:right w:val="none" w:sz="0" w:space="0" w:color="auto"/>
          </w:divBdr>
        </w:div>
        <w:div w:id="1790510387">
          <w:marLeft w:val="1166"/>
          <w:marRight w:val="0"/>
          <w:marTop w:val="0"/>
          <w:marBottom w:val="0"/>
          <w:divBdr>
            <w:top w:val="none" w:sz="0" w:space="0" w:color="auto"/>
            <w:left w:val="none" w:sz="0" w:space="0" w:color="auto"/>
            <w:bottom w:val="none" w:sz="0" w:space="0" w:color="auto"/>
            <w:right w:val="none" w:sz="0" w:space="0" w:color="auto"/>
          </w:divBdr>
        </w:div>
        <w:div w:id="24145392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614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8753550B-BA21-474D-8B8A-83FEABB26B52}"/>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800</TotalTime>
  <Pages>3</Pages>
  <Words>1550</Words>
  <Characters>8000</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383</cp:revision>
  <cp:lastPrinted>2020-10-14T15:51:00Z</cp:lastPrinted>
  <dcterms:created xsi:type="dcterms:W3CDTF">2021-03-28T15:57:00Z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